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64CC4" w:rsidRDefault="008C271C">
      <w:bookmarkStart w:id="0" w:name="_GoBack"/>
      <w:bookmarkEnd w:id="0"/>
      <w:r>
        <w:rPr>
          <w:b/>
          <w:color w:val="000000"/>
        </w:rPr>
        <w:t>FORMAT</w:t>
      </w:r>
    </w:p>
    <w:p w:rsidR="00764CC4" w:rsidRDefault="00764CC4"/>
    <w:p w:rsidR="00764CC4" w:rsidRDefault="008C271C">
      <w:pPr>
        <w:jc w:val="both"/>
      </w:pPr>
      <w:r>
        <w:rPr>
          <w:color w:val="000000"/>
        </w:rPr>
        <w:t>Emilie Brochu</w:t>
      </w:r>
    </w:p>
    <w:p w:rsidR="00764CC4" w:rsidRDefault="00764CC4"/>
    <w:p w:rsidR="00764CC4" w:rsidRDefault="008C271C">
      <w:r>
        <w:rPr>
          <w:color w:val="000000"/>
        </w:rPr>
        <w:t>Mme Brochu</w:t>
      </w:r>
    </w:p>
    <w:p w:rsidR="00764CC4" w:rsidRDefault="00764CC4"/>
    <w:p w:rsidR="00764CC4" w:rsidRDefault="008C271C">
      <w:r>
        <w:rPr>
          <w:color w:val="000000"/>
        </w:rPr>
        <w:t>EAE3U</w:t>
      </w:r>
    </w:p>
    <w:p w:rsidR="00764CC4" w:rsidRDefault="00764CC4"/>
    <w:p w:rsidR="00764CC4" w:rsidRDefault="008C271C">
      <w:r>
        <w:rPr>
          <w:color w:val="000000"/>
        </w:rPr>
        <w:t>1 September 2009</w:t>
      </w:r>
    </w:p>
    <w:p w:rsidR="00764CC4" w:rsidRDefault="00764CC4"/>
    <w:p w:rsidR="00764CC4" w:rsidRDefault="008C271C">
      <w:pPr>
        <w:spacing w:line="480" w:lineRule="auto"/>
        <w:jc w:val="center"/>
      </w:pPr>
      <w:r>
        <w:rPr>
          <w:color w:val="000000"/>
        </w:rPr>
        <w:t>Title of Your Paper</w:t>
      </w:r>
    </w:p>
    <w:p w:rsidR="00764CC4" w:rsidRDefault="008C271C">
      <w:pPr>
        <w:spacing w:line="480" w:lineRule="auto"/>
      </w:pPr>
      <w:r>
        <w:tab/>
      </w:r>
      <w:r>
        <w:rPr>
          <w:color w:val="000000"/>
        </w:rPr>
        <w:t xml:space="preserve">Always remember to tab your paragraphs.  </w:t>
      </w:r>
    </w:p>
    <w:p w:rsidR="00764CC4" w:rsidRDefault="008C271C">
      <w:pPr>
        <w:spacing w:line="480" w:lineRule="auto"/>
        <w:ind w:left="1418"/>
      </w:pPr>
      <w:r>
        <w:rPr>
          <w:color w:val="000000"/>
        </w:rPr>
        <w:t xml:space="preserve">Do not justify the lines of text at the right margin.  Set your word processor to double-space the entire paper, including </w:t>
      </w:r>
      <w:r>
        <w:rPr>
          <w:color w:val="000000"/>
        </w:rPr>
        <w:t>quotations, notes, and the list of works cited.  Leave one space after the period or other concluding punctuation mark, unless your instructor prefers two spaces; (MLA 116)</w:t>
      </w:r>
    </w:p>
    <w:p w:rsidR="00764CC4" w:rsidRDefault="008C271C">
      <w:pPr>
        <w:spacing w:line="480" w:lineRule="auto"/>
      </w:pPr>
      <w:r>
        <w:rPr>
          <w:color w:val="000000"/>
        </w:rPr>
        <w:t xml:space="preserve">which she does.  </w:t>
      </w:r>
    </w:p>
    <w:p w:rsidR="00764CC4" w:rsidRDefault="008C271C">
      <w:pPr>
        <w:pBdr>
          <w:bottom w:val="single" w:sz="12" w:space="0" w:color="000000"/>
          <w:between w:val="single" w:sz="12" w:space="0" w:color="000000"/>
        </w:pBdr>
        <w:spacing w:line="480" w:lineRule="auto"/>
      </w:pPr>
      <w:r>
        <w:tab/>
      </w:r>
      <w:r>
        <w:rPr>
          <w:color w:val="000000"/>
        </w:rPr>
        <w:t xml:space="preserve">Remember that a research paper does not need a title page.  “Do </w:t>
      </w:r>
      <w:r>
        <w:rPr>
          <w:color w:val="000000"/>
        </w:rPr>
        <w:t xml:space="preserve">not italicize or underline your title, put it in quotation marks or boldface, or type it in all capital letters” (MLA 117).  </w:t>
      </w:r>
    </w:p>
    <w:p w:rsidR="00764CC4" w:rsidRDefault="00764CC4"/>
    <w:p w:rsidR="00764CC4" w:rsidRDefault="008C271C">
      <w:r>
        <w:rPr>
          <w:b/>
          <w:color w:val="000000"/>
        </w:rPr>
        <w:t>QUOTATIONS</w:t>
      </w:r>
    </w:p>
    <w:p w:rsidR="00764CC4" w:rsidRDefault="00764CC4"/>
    <w:p w:rsidR="00764CC4" w:rsidRDefault="008C271C">
      <w:r>
        <w:rPr>
          <w:b/>
          <w:color w:val="000000"/>
        </w:rPr>
        <w:t>Prose</w:t>
      </w:r>
    </w:p>
    <w:p w:rsidR="00764CC4" w:rsidRDefault="008C271C">
      <w:r>
        <w:rPr>
          <w:color w:val="000000"/>
        </w:rPr>
        <w:t>If a prose quotation runs no more than four lines and requires no special emphasis, put it in quotation marks a</w:t>
      </w:r>
      <w:r>
        <w:rPr>
          <w:color w:val="000000"/>
        </w:rPr>
        <w:t>nd incorporate it into the text.</w:t>
      </w:r>
    </w:p>
    <w:p w:rsidR="00764CC4" w:rsidRDefault="00764CC4"/>
    <w:p w:rsidR="00764CC4" w:rsidRDefault="008C271C">
      <w:r>
        <w:rPr>
          <w:color w:val="000000"/>
        </w:rPr>
        <w:t>For Charles Dickens the eighteenth century was both “the best of times” and the “worst of times” (35).</w:t>
      </w:r>
    </w:p>
    <w:p w:rsidR="00764CC4" w:rsidRDefault="00764CC4"/>
    <w:p w:rsidR="00764CC4" w:rsidRDefault="008C271C">
      <w:r>
        <w:rPr>
          <w:color w:val="000000"/>
        </w:rPr>
        <w:t xml:space="preserve">If a quotation extends to more than four lines when run into the text, set it off from your text by beginning a new </w:t>
      </w:r>
      <w:r>
        <w:rPr>
          <w:color w:val="000000"/>
        </w:rPr>
        <w:t>line, indenting one inch from the left-margin and typing it double-spaced, without adding quotation marks.</w:t>
      </w:r>
    </w:p>
    <w:p w:rsidR="00764CC4" w:rsidRDefault="00764CC4"/>
    <w:p w:rsidR="00764CC4" w:rsidRDefault="008C271C">
      <w:r>
        <w:rPr>
          <w:color w:val="000000"/>
        </w:rPr>
        <w:lastRenderedPageBreak/>
        <w:t xml:space="preserve">At the conclusion of </w:t>
      </w:r>
      <w:r>
        <w:rPr>
          <w:i/>
          <w:color w:val="000000"/>
        </w:rPr>
        <w:t>Lord of the Flies</w:t>
      </w:r>
      <w:r>
        <w:rPr>
          <w:color w:val="000000"/>
        </w:rPr>
        <w:t>, Ralph and the other boys realize the horror of their actions:</w:t>
      </w:r>
    </w:p>
    <w:p w:rsidR="00764CC4" w:rsidRDefault="008C271C">
      <w:pPr>
        <w:ind w:left="1418"/>
      </w:pPr>
      <w:r>
        <w:rPr>
          <w:color w:val="000000"/>
        </w:rPr>
        <w:t>The tears began to flow and sobs shook him.  H</w:t>
      </w:r>
      <w:r>
        <w:rPr>
          <w:color w:val="000000"/>
        </w:rPr>
        <w:t>e gave himself up to them now for the first time on the island; great, shuddering spasms of grief that seemed to wrench his whole body.  His voice rose under the black smoke before the burning wreckage of the island; and infected by that emotion, the other</w:t>
      </w:r>
      <w:r>
        <w:rPr>
          <w:color w:val="000000"/>
        </w:rPr>
        <w:t xml:space="preserve"> little boys began to shake and sob too. (186)</w:t>
      </w:r>
    </w:p>
    <w:p w:rsidR="00764CC4" w:rsidRDefault="00764CC4">
      <w:pPr>
        <w:ind w:left="708" w:hanging="708"/>
      </w:pPr>
    </w:p>
    <w:p w:rsidR="00764CC4" w:rsidRDefault="008C271C">
      <w:pPr>
        <w:ind w:left="708" w:hanging="708"/>
      </w:pPr>
      <w:r>
        <w:rPr>
          <w:b/>
          <w:color w:val="000000"/>
        </w:rPr>
        <w:t>Poetry</w:t>
      </w:r>
    </w:p>
    <w:p w:rsidR="00764CC4" w:rsidRDefault="008C271C">
      <w:r>
        <w:rPr>
          <w:color w:val="000000"/>
        </w:rPr>
        <w:t xml:space="preserve">If you quote a part or all of a single line or verse that does not require special emphasis, put it in quotation marks within your text.  </w:t>
      </w:r>
    </w:p>
    <w:p w:rsidR="00764CC4" w:rsidRDefault="00764CC4"/>
    <w:p w:rsidR="00764CC4" w:rsidRDefault="008C271C">
      <w:r>
        <w:rPr>
          <w:color w:val="000000"/>
        </w:rPr>
        <w:t>Bradstreet frames the poem with a sense of mortality: “All th</w:t>
      </w:r>
      <w:r>
        <w:rPr>
          <w:color w:val="000000"/>
        </w:rPr>
        <w:t>ings within this fading world hath end” (1).</w:t>
      </w:r>
    </w:p>
    <w:p w:rsidR="00764CC4" w:rsidRDefault="00764CC4"/>
    <w:p w:rsidR="00764CC4" w:rsidRDefault="008C271C">
      <w:r>
        <w:rPr>
          <w:color w:val="000000"/>
        </w:rPr>
        <w:t xml:space="preserve">Reflecting on the “incident” in Baltimore, Cullen concludes, “Of all the things that happened there / That’s all that I remember” (11-12).  </w:t>
      </w:r>
    </w:p>
    <w:p w:rsidR="00764CC4" w:rsidRDefault="00764CC4"/>
    <w:p w:rsidR="00764CC4" w:rsidRDefault="008C271C">
      <w:r>
        <w:rPr>
          <w:color w:val="000000"/>
        </w:rPr>
        <w:t>Verse quotations of more than three lines should begin on a new line</w:t>
      </w:r>
      <w:r>
        <w:rPr>
          <w:color w:val="000000"/>
        </w:rPr>
        <w:t>.</w:t>
      </w:r>
    </w:p>
    <w:p w:rsidR="00764CC4" w:rsidRDefault="00764CC4"/>
    <w:p w:rsidR="00764CC4" w:rsidRDefault="008C271C">
      <w:r>
        <w:rPr>
          <w:color w:val="000000"/>
        </w:rPr>
        <w:t>Elizabeth Bishop’s “In the Waiting Room” is rich in evocative detail:</w:t>
      </w:r>
    </w:p>
    <w:p w:rsidR="00764CC4" w:rsidRDefault="008C271C">
      <w:r>
        <w:tab/>
      </w:r>
      <w:r>
        <w:tab/>
      </w:r>
      <w:r>
        <w:rPr>
          <w:color w:val="000000"/>
        </w:rPr>
        <w:t>It was winter.  It got dark</w:t>
      </w:r>
    </w:p>
    <w:p w:rsidR="00764CC4" w:rsidRDefault="008C271C">
      <w:r>
        <w:tab/>
      </w:r>
      <w:r>
        <w:tab/>
      </w:r>
      <w:r>
        <w:rPr>
          <w:color w:val="000000"/>
        </w:rPr>
        <w:t>early.  The waiting room</w:t>
      </w:r>
    </w:p>
    <w:p w:rsidR="00764CC4" w:rsidRDefault="008C271C">
      <w:r>
        <w:tab/>
      </w:r>
      <w:r>
        <w:tab/>
      </w:r>
      <w:r>
        <w:rPr>
          <w:color w:val="000000"/>
        </w:rPr>
        <w:t>was full of grown-up people,</w:t>
      </w:r>
    </w:p>
    <w:p w:rsidR="00764CC4" w:rsidRDefault="008C271C">
      <w:r>
        <w:tab/>
      </w:r>
      <w:r>
        <w:tab/>
      </w:r>
      <w:r>
        <w:rPr>
          <w:color w:val="000000"/>
        </w:rPr>
        <w:t>arctics and overcoats,</w:t>
      </w:r>
    </w:p>
    <w:p w:rsidR="00764CC4" w:rsidRDefault="008C271C">
      <w:r>
        <w:tab/>
      </w:r>
      <w:r>
        <w:tab/>
      </w:r>
      <w:r>
        <w:rPr>
          <w:color w:val="000000"/>
        </w:rPr>
        <w:t>lamps and magazines. (6-10)</w:t>
      </w:r>
    </w:p>
    <w:p w:rsidR="00764CC4" w:rsidRDefault="00764CC4"/>
    <w:p w:rsidR="00764CC4" w:rsidRDefault="008C271C">
      <w:r>
        <w:rPr>
          <w:b/>
          <w:color w:val="000000"/>
        </w:rPr>
        <w:t>Drama</w:t>
      </w:r>
    </w:p>
    <w:p w:rsidR="00764CC4" w:rsidRDefault="008C271C">
      <w:r>
        <w:rPr>
          <w:color w:val="000000"/>
        </w:rPr>
        <w:t>If you quote dialogue between two</w:t>
      </w:r>
      <w:r>
        <w:rPr>
          <w:color w:val="000000"/>
        </w:rPr>
        <w:t xml:space="preserve"> or more characters in a play, set the quotation off from your text.</w:t>
      </w:r>
    </w:p>
    <w:p w:rsidR="00764CC4" w:rsidRDefault="00764CC4"/>
    <w:p w:rsidR="00764CC4" w:rsidRDefault="008C271C">
      <w:r>
        <w:rPr>
          <w:color w:val="000000"/>
        </w:rPr>
        <w:t>A short time later Lear loses the final symbol of his former power, the soldiers who make up his train:</w:t>
      </w:r>
    </w:p>
    <w:p w:rsidR="00764CC4" w:rsidRDefault="008C271C">
      <w:r>
        <w:tab/>
      </w:r>
      <w:r>
        <w:tab/>
      </w:r>
      <w:r>
        <w:rPr>
          <w:color w:val="000000"/>
        </w:rPr>
        <w:t>GONERIL.</w:t>
      </w:r>
      <w:r>
        <w:tab/>
      </w:r>
      <w:r>
        <w:tab/>
      </w:r>
      <w:r>
        <w:tab/>
      </w:r>
      <w:r>
        <w:rPr>
          <w:color w:val="000000"/>
        </w:rPr>
        <w:t>Hear me, my lord.</w:t>
      </w:r>
    </w:p>
    <w:p w:rsidR="00764CC4" w:rsidRDefault="008C271C">
      <w:r>
        <w:tab/>
      </w:r>
      <w:r>
        <w:tab/>
      </w:r>
      <w:r>
        <w:rPr>
          <w:color w:val="000000"/>
        </w:rPr>
        <w:t xml:space="preserve"> What need you five-and-twenty, ten or five,</w:t>
      </w:r>
    </w:p>
    <w:p w:rsidR="00764CC4" w:rsidRDefault="008C271C">
      <w:r>
        <w:tab/>
      </w:r>
      <w:r>
        <w:tab/>
      </w:r>
      <w:r>
        <w:rPr>
          <w:color w:val="000000"/>
        </w:rPr>
        <w:t xml:space="preserve"> To follow in a house where twice so many</w:t>
      </w:r>
    </w:p>
    <w:p w:rsidR="00764CC4" w:rsidRDefault="008C271C">
      <w:r>
        <w:tab/>
      </w:r>
      <w:r>
        <w:tab/>
      </w:r>
      <w:r>
        <w:rPr>
          <w:color w:val="000000"/>
        </w:rPr>
        <w:t xml:space="preserve"> Have a command to tend you?</w:t>
      </w:r>
    </w:p>
    <w:p w:rsidR="00764CC4" w:rsidRDefault="008C271C">
      <w:r>
        <w:tab/>
      </w:r>
      <w:r>
        <w:tab/>
      </w:r>
      <w:r>
        <w:rPr>
          <w:color w:val="000000"/>
        </w:rPr>
        <w:t>REGAN.</w:t>
      </w:r>
      <w:r>
        <w:tab/>
      </w:r>
      <w:r>
        <w:tab/>
      </w:r>
      <w:r>
        <w:tab/>
      </w:r>
      <w:r>
        <w:rPr>
          <w:color w:val="000000"/>
        </w:rPr>
        <w:t>What need one?</w:t>
      </w:r>
    </w:p>
    <w:p w:rsidR="00764CC4" w:rsidRDefault="008C271C">
      <w:r>
        <w:tab/>
      </w:r>
      <w:r>
        <w:tab/>
      </w:r>
      <w:r>
        <w:rPr>
          <w:color w:val="000000"/>
        </w:rPr>
        <w:t>LEAR. O, reason not the need! (2.4.254-58)</w:t>
      </w:r>
    </w:p>
    <w:p w:rsidR="00764CC4" w:rsidRDefault="00764CC4"/>
    <w:p w:rsidR="00764CC4" w:rsidRDefault="008C271C">
      <w:r>
        <w:rPr>
          <w:b/>
          <w:color w:val="000000"/>
        </w:rPr>
        <w:t>Ellipsis</w:t>
      </w:r>
    </w:p>
    <w:p w:rsidR="00764CC4" w:rsidRDefault="008C271C">
      <w:r>
        <w:rPr>
          <w:color w:val="000000"/>
        </w:rPr>
        <w:t xml:space="preserve">An ellipsis is an omission of a word, a phrase, a sentence, or more from a quoted passage.  </w:t>
      </w:r>
    </w:p>
    <w:p w:rsidR="00764CC4" w:rsidRDefault="00764CC4"/>
    <w:p w:rsidR="00764CC4" w:rsidRDefault="008C271C">
      <w:r>
        <w:rPr>
          <w:color w:val="000000"/>
        </w:rPr>
        <w:t>In surve</w:t>
      </w:r>
      <w:r>
        <w:rPr>
          <w:color w:val="000000"/>
        </w:rPr>
        <w:t>ying various responses to plagues in the Middle Ages, Barbara W. Tuchman writes, “Medical thinking … stressed air as the communicator of disease, ignoring sanitation or visible carriers” (101-02).</w:t>
      </w:r>
    </w:p>
    <w:p w:rsidR="00764CC4" w:rsidRDefault="00764CC4"/>
    <w:p w:rsidR="00764CC4" w:rsidRDefault="008C271C">
      <w:r>
        <w:rPr>
          <w:color w:val="000000"/>
        </w:rPr>
        <w:t>In surveying various responses to plagues in the Middle Ag</w:t>
      </w:r>
      <w:r>
        <w:rPr>
          <w:color w:val="000000"/>
        </w:rPr>
        <w:t>es, Barbara W. Tuchman writes, “Medical thinking, trapped in the theory of astral influences, stressed air as the communicator of disease…” (101-02).</w:t>
      </w:r>
    </w:p>
    <w:p w:rsidR="00764CC4" w:rsidRDefault="00764CC4"/>
    <w:p w:rsidR="00764CC4" w:rsidRDefault="008C271C">
      <w:r>
        <w:rPr>
          <w:b/>
          <w:color w:val="000000"/>
        </w:rPr>
        <w:t>Other alterations of sources</w:t>
      </w:r>
    </w:p>
    <w:p w:rsidR="00764CC4" w:rsidRDefault="008C271C">
      <w:r>
        <w:rPr>
          <w:color w:val="000000"/>
        </w:rPr>
        <w:t>A comment or an explanation that goes inside the quotation must appear withi</w:t>
      </w:r>
      <w:r>
        <w:rPr>
          <w:color w:val="000000"/>
        </w:rPr>
        <w:t>n square brackets, not parentheses.</w:t>
      </w:r>
    </w:p>
    <w:p w:rsidR="00764CC4" w:rsidRDefault="00764CC4"/>
    <w:p w:rsidR="00764CC4" w:rsidRDefault="008C271C">
      <w:r>
        <w:rPr>
          <w:color w:val="000000"/>
        </w:rPr>
        <w:t>He claimed he could provide “hundreds of examples [of court decisions] to illustrate the historical tension between church and state.”</w:t>
      </w:r>
    </w:p>
    <w:p w:rsidR="00764CC4" w:rsidRDefault="00764CC4">
      <w:pPr>
        <w:pBdr>
          <w:bottom w:val="single" w:sz="12" w:space="0" w:color="000000"/>
          <w:between w:val="single" w:sz="12" w:space="0" w:color="000000"/>
        </w:pBdr>
      </w:pPr>
    </w:p>
    <w:p w:rsidR="00764CC4" w:rsidRDefault="00764CC4"/>
    <w:p w:rsidR="00764CC4" w:rsidRDefault="008C271C">
      <w:r>
        <w:rPr>
          <w:b/>
          <w:color w:val="000000"/>
        </w:rPr>
        <w:t>CITING SOURCES IN THE TEXT</w:t>
      </w:r>
    </w:p>
    <w:p w:rsidR="00764CC4" w:rsidRDefault="008C271C">
      <w:r>
        <w:rPr>
          <w:b/>
          <w:color w:val="000000"/>
        </w:rPr>
        <w:t xml:space="preserve"> </w:t>
      </w:r>
    </w:p>
    <w:p w:rsidR="00764CC4" w:rsidRDefault="008C271C">
      <w:r>
        <w:rPr>
          <w:color w:val="000000"/>
        </w:rPr>
        <w:t>References in the text must clearly point to specific</w:t>
      </w:r>
      <w:r>
        <w:rPr>
          <w:color w:val="000000"/>
        </w:rPr>
        <w:t xml:space="preserve"> sources in the list of works cited.  Don’t forget to identify the location of the borrowed information as specifically as possible.</w:t>
      </w:r>
    </w:p>
    <w:p w:rsidR="00764CC4" w:rsidRDefault="008C271C">
      <w:pPr>
        <w:ind w:left="705" w:hanging="705"/>
      </w:pPr>
      <w:r>
        <w:rPr>
          <w:color w:val="000000"/>
        </w:rPr>
        <w:t xml:space="preserve">Ex. </w:t>
      </w:r>
      <w:r>
        <w:tab/>
      </w:r>
      <w:r>
        <w:rPr>
          <w:color w:val="000000"/>
        </w:rPr>
        <w:t>Medieval Europe was a place both of “raids, pillages, slavery, and extortion” and of “traveling merchants, monetary ex</w:t>
      </w:r>
      <w:r>
        <w:rPr>
          <w:color w:val="000000"/>
        </w:rPr>
        <w:t>change, towns if not cities, and active markets in grain” (Townsend 10).</w:t>
      </w:r>
    </w:p>
    <w:p w:rsidR="00764CC4" w:rsidRDefault="008C271C">
      <w:pPr>
        <w:ind w:left="705" w:hanging="705"/>
        <w:jc w:val="center"/>
      </w:pPr>
      <w:r>
        <w:rPr>
          <w:color w:val="000000"/>
        </w:rPr>
        <w:t>Works Cited</w:t>
      </w:r>
    </w:p>
    <w:p w:rsidR="00764CC4" w:rsidRDefault="008C271C">
      <w:pPr>
        <w:ind w:left="1416" w:hanging="696"/>
      </w:pPr>
      <w:r>
        <w:rPr>
          <w:color w:val="000000"/>
        </w:rPr>
        <w:t xml:space="preserve">Townsend, Robert M. </w:t>
      </w:r>
      <w:r>
        <w:rPr>
          <w:i/>
          <w:color w:val="000000"/>
        </w:rPr>
        <w:t>The Medieval Village Economy</w:t>
      </w:r>
      <w:r>
        <w:rPr>
          <w:color w:val="000000"/>
        </w:rPr>
        <w:t>.  Princeton: Princeton UP, 1993.  Print.</w:t>
      </w:r>
    </w:p>
    <w:p w:rsidR="00764CC4" w:rsidRDefault="00764CC4">
      <w:pPr>
        <w:ind w:left="1416" w:hanging="696"/>
      </w:pPr>
    </w:p>
    <w:p w:rsidR="00764CC4" w:rsidRDefault="008C271C">
      <w:r>
        <w:rPr>
          <w:b/>
          <w:color w:val="000000"/>
        </w:rPr>
        <w:t>Other examples of citing sources in the text</w:t>
      </w:r>
      <w:r>
        <w:rPr>
          <w:color w:val="000000"/>
        </w:rPr>
        <w:t>:</w:t>
      </w:r>
    </w:p>
    <w:p w:rsidR="00764CC4" w:rsidRDefault="00764CC4"/>
    <w:p w:rsidR="00764CC4" w:rsidRDefault="008C271C">
      <w:r>
        <w:rPr>
          <w:b/>
          <w:color w:val="000000"/>
        </w:rPr>
        <w:t>Author’s name in text</w:t>
      </w:r>
    </w:p>
    <w:p w:rsidR="00764CC4" w:rsidRDefault="008C271C">
      <w:r>
        <w:rPr>
          <w:color w:val="000000"/>
        </w:rPr>
        <w:t xml:space="preserve">Tannen has </w:t>
      </w:r>
      <w:r>
        <w:rPr>
          <w:color w:val="000000"/>
        </w:rPr>
        <w:t>argued this point (178-85).</w:t>
      </w:r>
    </w:p>
    <w:p w:rsidR="00764CC4" w:rsidRDefault="00764CC4"/>
    <w:p w:rsidR="00764CC4" w:rsidRDefault="008C271C">
      <w:r>
        <w:rPr>
          <w:b/>
          <w:color w:val="000000"/>
        </w:rPr>
        <w:t>Author’s name in reference</w:t>
      </w:r>
    </w:p>
    <w:p w:rsidR="00764CC4" w:rsidRDefault="008C271C">
      <w:r>
        <w:rPr>
          <w:color w:val="000000"/>
        </w:rPr>
        <w:t>This point has already been argued (Tannen 178-85).</w:t>
      </w:r>
    </w:p>
    <w:p w:rsidR="00764CC4" w:rsidRDefault="00764CC4"/>
    <w:p w:rsidR="00764CC4" w:rsidRDefault="008C271C">
      <w:r>
        <w:rPr>
          <w:b/>
          <w:color w:val="000000"/>
        </w:rPr>
        <w:t>A reference directly after a quotation follows the closing quotation mark.</w:t>
      </w:r>
    </w:p>
    <w:p w:rsidR="00764CC4" w:rsidRDefault="008C271C">
      <w:r>
        <w:rPr>
          <w:color w:val="000000"/>
        </w:rPr>
        <w:t>In the late Renaissance, Machiavelli contended that human beings were by</w:t>
      </w:r>
      <w:r>
        <w:rPr>
          <w:color w:val="000000"/>
        </w:rPr>
        <w:t xml:space="preserve"> nature “ungrateful” and “mutable” (1240), and Montaigne thought them “miserable and puny” (1343).</w:t>
      </w:r>
    </w:p>
    <w:p w:rsidR="00764CC4" w:rsidRDefault="00764CC4"/>
    <w:p w:rsidR="00764CC4" w:rsidRDefault="008C271C">
      <w:r>
        <w:rPr>
          <w:b/>
          <w:color w:val="000000"/>
        </w:rPr>
        <w:t>Citing a work listed by title</w:t>
      </w:r>
    </w:p>
    <w:p w:rsidR="00764CC4" w:rsidRDefault="008C271C">
      <w:r>
        <w:rPr>
          <w:color w:val="000000"/>
        </w:rPr>
        <w:t xml:space="preserve">In winter the snowy owl feeds primarily on small rodents (“Snowy Owl”, </w:t>
      </w:r>
      <w:r>
        <w:rPr>
          <w:i/>
          <w:color w:val="000000"/>
        </w:rPr>
        <w:t>Hinderland</w:t>
      </w:r>
      <w:r>
        <w:rPr>
          <w:color w:val="000000"/>
        </w:rPr>
        <w:t>), but in spring it also feeds on eggs of muc</w:t>
      </w:r>
      <w:r>
        <w:rPr>
          <w:color w:val="000000"/>
        </w:rPr>
        <w:t xml:space="preserve">h larger waterfowl, such as geese and swans (“Snowy Owl”, </w:t>
      </w:r>
      <w:r>
        <w:rPr>
          <w:i/>
          <w:color w:val="000000"/>
        </w:rPr>
        <w:t>Arctic</w:t>
      </w:r>
      <w:r>
        <w:rPr>
          <w:color w:val="000000"/>
        </w:rPr>
        <w:t xml:space="preserve">).  </w:t>
      </w:r>
    </w:p>
    <w:p w:rsidR="00764CC4" w:rsidRDefault="00764CC4"/>
    <w:p w:rsidR="00764CC4" w:rsidRDefault="008C271C">
      <w:r>
        <w:rPr>
          <w:b/>
          <w:color w:val="000000"/>
        </w:rPr>
        <w:t>Citing two or more works by the same author or authors</w:t>
      </w:r>
    </w:p>
    <w:p w:rsidR="00764CC4" w:rsidRDefault="008C271C">
      <w:r>
        <w:rPr>
          <w:color w:val="000000"/>
        </w:rPr>
        <w:t xml:space="preserve">Shakespeare’s </w:t>
      </w:r>
      <w:r>
        <w:rPr>
          <w:i/>
          <w:color w:val="000000"/>
        </w:rPr>
        <w:t xml:space="preserve">King Lear </w:t>
      </w:r>
      <w:r>
        <w:rPr>
          <w:color w:val="000000"/>
        </w:rPr>
        <w:t xml:space="preserve">has been called a “comedy of the grotesque” (Frye, </w:t>
      </w:r>
      <w:r>
        <w:rPr>
          <w:i/>
          <w:color w:val="000000"/>
        </w:rPr>
        <w:t>Anatomy</w:t>
      </w:r>
      <w:r>
        <w:rPr>
          <w:color w:val="000000"/>
        </w:rPr>
        <w:t xml:space="preserve"> 237).</w:t>
      </w:r>
    </w:p>
    <w:p w:rsidR="00764CC4" w:rsidRDefault="008C271C">
      <w:r>
        <w:rPr>
          <w:color w:val="000000"/>
        </w:rPr>
        <w:lastRenderedPageBreak/>
        <w:t>For Northrop Frye, one’s death is not a un</w:t>
      </w:r>
      <w:r>
        <w:rPr>
          <w:color w:val="000000"/>
        </w:rPr>
        <w:t>ique experience, for “every moment we have lived through we have also died out of into another order” (</w:t>
      </w:r>
      <w:r>
        <w:rPr>
          <w:i/>
          <w:color w:val="000000"/>
        </w:rPr>
        <w:t>Double Vision</w:t>
      </w:r>
      <w:r>
        <w:rPr>
          <w:color w:val="000000"/>
        </w:rPr>
        <w:t xml:space="preserve"> 85).</w:t>
      </w:r>
    </w:p>
    <w:p w:rsidR="00764CC4" w:rsidRDefault="00764CC4"/>
    <w:p w:rsidR="00764CC4" w:rsidRDefault="008C271C">
      <w:r>
        <w:rPr>
          <w:b/>
          <w:color w:val="000000"/>
        </w:rPr>
        <w:t>Citing indirect sources</w:t>
      </w:r>
    </w:p>
    <w:p w:rsidR="00764CC4" w:rsidRDefault="008C271C">
      <w:r>
        <w:rPr>
          <w:color w:val="000000"/>
        </w:rPr>
        <w:t xml:space="preserve">Samuel Johnson admitted that Edmund Burke was an “extraordinary man” (qtd. in Boswell 2: 450). </w:t>
      </w:r>
    </w:p>
    <w:p w:rsidR="00764CC4" w:rsidRDefault="00764CC4">
      <w:pPr>
        <w:ind w:left="708" w:hanging="708"/>
      </w:pPr>
    </w:p>
    <w:p w:rsidR="00764CC4" w:rsidRDefault="008C271C">
      <w:pPr>
        <w:ind w:left="708" w:hanging="708"/>
      </w:pPr>
      <w:r>
        <w:rPr>
          <w:b/>
          <w:color w:val="000000"/>
        </w:rPr>
        <w:t xml:space="preserve">Citing more </w:t>
      </w:r>
      <w:r>
        <w:rPr>
          <w:b/>
          <w:color w:val="000000"/>
        </w:rPr>
        <w:t>than one work in a single parenthetical reference</w:t>
      </w:r>
    </w:p>
    <w:p w:rsidR="00764CC4" w:rsidRDefault="008C271C">
      <w:pPr>
        <w:ind w:left="708" w:hanging="708"/>
      </w:pPr>
      <w:r>
        <w:rPr>
          <w:color w:val="000000"/>
        </w:rPr>
        <w:t>(Fukuyama 42; McRae 101-33)</w:t>
      </w:r>
    </w:p>
    <w:p w:rsidR="00764CC4" w:rsidRDefault="008C271C">
      <w:pPr>
        <w:pBdr>
          <w:bottom w:val="single" w:sz="12" w:space="0" w:color="000000"/>
          <w:between w:val="single" w:sz="12" w:space="0" w:color="000000"/>
        </w:pBdr>
        <w:ind w:left="708" w:hanging="708"/>
      </w:pPr>
      <w:r>
        <w:tab/>
      </w:r>
    </w:p>
    <w:p w:rsidR="00764CC4" w:rsidRDefault="00764CC4">
      <w:pPr>
        <w:ind w:left="708" w:hanging="708"/>
      </w:pPr>
    </w:p>
    <w:p w:rsidR="00764CC4" w:rsidRDefault="008C271C">
      <w:pPr>
        <w:ind w:left="708" w:hanging="708"/>
      </w:pPr>
      <w:r>
        <w:rPr>
          <w:b/>
          <w:color w:val="000000"/>
        </w:rPr>
        <w:t>LIST OF WORKS CITED</w:t>
      </w:r>
    </w:p>
    <w:p w:rsidR="00764CC4" w:rsidRDefault="008C271C">
      <w:r>
        <w:rPr>
          <w:color w:val="000000"/>
        </w:rPr>
        <w:t>The list of the works cited appears at the end of the paper. Begin the list on a new page and number</w:t>
      </w:r>
      <w:r>
        <w:rPr>
          <w:color w:val="000000"/>
        </w:rPr>
        <w:t xml:space="preserve"> each page, continuing the page numbers of the text.  Center the title, </w:t>
      </w:r>
      <w:r>
        <w:rPr>
          <w:i/>
          <w:color w:val="000000"/>
        </w:rPr>
        <w:t>Works Cited</w:t>
      </w:r>
      <w:r>
        <w:rPr>
          <w:color w:val="000000"/>
        </w:rPr>
        <w:t xml:space="preserve">.  Double-space the entire list, both between and within entries.  Entries in a works-cited list are arranged in alphabetical order.  </w:t>
      </w:r>
    </w:p>
    <w:p w:rsidR="00764CC4" w:rsidRDefault="00764CC4"/>
    <w:p w:rsidR="00764CC4" w:rsidRDefault="008C271C">
      <w:r>
        <w:rPr>
          <w:b/>
          <w:color w:val="000000"/>
        </w:rPr>
        <w:t>Two or more works by the same authors</w:t>
      </w:r>
    </w:p>
    <w:p w:rsidR="00764CC4" w:rsidRDefault="00764CC4"/>
    <w:p w:rsidR="00764CC4" w:rsidRDefault="008C271C">
      <w:pPr>
        <w:ind w:left="540" w:hanging="540"/>
      </w:pPr>
      <w:r>
        <w:rPr>
          <w:color w:val="000000"/>
        </w:rPr>
        <w:t xml:space="preserve">Glibert, Sandra M., and Susan Gubar, eds. </w:t>
      </w:r>
      <w:r>
        <w:rPr>
          <w:i/>
          <w:color w:val="000000"/>
        </w:rPr>
        <w:t>The Female Imagination and the Modernist Aesthtic</w:t>
      </w:r>
      <w:r>
        <w:rPr>
          <w:color w:val="000000"/>
        </w:rPr>
        <w:t>. New York: Gordon, 1986. Print.</w:t>
      </w:r>
    </w:p>
    <w:p w:rsidR="00764CC4" w:rsidRDefault="00764CC4">
      <w:pPr>
        <w:ind w:left="540" w:hanging="540"/>
      </w:pPr>
    </w:p>
    <w:p w:rsidR="00764CC4" w:rsidRDefault="008C271C">
      <w:pPr>
        <w:ind w:left="540" w:hanging="540"/>
      </w:pPr>
      <w:r>
        <w:rPr>
          <w:color w:val="000000"/>
        </w:rPr>
        <w:t xml:space="preserve">---. “Sexual Linguistics: Gender, Language, Sexuality.” </w:t>
      </w:r>
      <w:r>
        <w:rPr>
          <w:i/>
          <w:color w:val="000000"/>
        </w:rPr>
        <w:t>New Literary History</w:t>
      </w:r>
      <w:r>
        <w:rPr>
          <w:color w:val="000000"/>
        </w:rPr>
        <w:t xml:space="preserve"> 16.3 (1985): 515-43. </w:t>
      </w:r>
      <w:r>
        <w:rPr>
          <w:i/>
          <w:color w:val="000000"/>
        </w:rPr>
        <w:t>JSTOR</w:t>
      </w:r>
      <w:r>
        <w:rPr>
          <w:color w:val="000000"/>
        </w:rPr>
        <w:t>. Web. 26 June 2007.</w:t>
      </w:r>
    </w:p>
    <w:p w:rsidR="00764CC4" w:rsidRDefault="00764CC4">
      <w:pPr>
        <w:ind w:left="540" w:hanging="540"/>
      </w:pPr>
    </w:p>
    <w:p w:rsidR="00764CC4" w:rsidRDefault="008C271C">
      <w:pPr>
        <w:ind w:left="540" w:hanging="540"/>
      </w:pPr>
      <w:r>
        <w:rPr>
          <w:b/>
          <w:color w:val="000000"/>
        </w:rPr>
        <w:t>Citi</w:t>
      </w:r>
      <w:r>
        <w:rPr>
          <w:b/>
          <w:color w:val="000000"/>
        </w:rPr>
        <w:t>ng Periodical Print Publications</w:t>
      </w:r>
    </w:p>
    <w:p w:rsidR="00764CC4" w:rsidRDefault="00764CC4">
      <w:pPr>
        <w:ind w:left="540" w:hanging="540"/>
      </w:pPr>
    </w:p>
    <w:p w:rsidR="00764CC4" w:rsidRDefault="008C271C">
      <w:pPr>
        <w:numPr>
          <w:ilvl w:val="0"/>
          <w:numId w:val="1"/>
        </w:numPr>
        <w:tabs>
          <w:tab w:val="num" w:pos="360"/>
        </w:tabs>
        <w:ind w:left="360"/>
      </w:pPr>
      <w:r>
        <w:rPr>
          <w:color w:val="000000"/>
        </w:rPr>
        <w:t>An article in a newspaper</w:t>
      </w:r>
    </w:p>
    <w:p w:rsidR="00764CC4" w:rsidRDefault="00764CC4"/>
    <w:p w:rsidR="00764CC4" w:rsidRDefault="008C271C">
      <w:pPr>
        <w:ind w:left="540" w:hanging="540"/>
      </w:pPr>
      <w:r>
        <w:rPr>
          <w:color w:val="000000"/>
        </w:rPr>
        <w:t xml:space="preserve">Jeromack, Paul. “This Once, a David of the Art World Does Goliath a Favor.” </w:t>
      </w:r>
      <w:r>
        <w:rPr>
          <w:i/>
          <w:color w:val="000000"/>
        </w:rPr>
        <w:t>New York Times</w:t>
      </w:r>
      <w:r>
        <w:rPr>
          <w:color w:val="000000"/>
        </w:rPr>
        <w:t xml:space="preserve"> 13 July 2002, late ed.: B7+. Print.</w:t>
      </w:r>
    </w:p>
    <w:p w:rsidR="00764CC4" w:rsidRDefault="00764CC4">
      <w:pPr>
        <w:ind w:left="540" w:hanging="540"/>
      </w:pPr>
    </w:p>
    <w:p w:rsidR="00764CC4" w:rsidRDefault="008C271C">
      <w:pPr>
        <w:numPr>
          <w:ilvl w:val="0"/>
          <w:numId w:val="1"/>
        </w:numPr>
        <w:tabs>
          <w:tab w:val="num" w:pos="360"/>
        </w:tabs>
        <w:ind w:left="360"/>
      </w:pPr>
      <w:r>
        <w:rPr>
          <w:color w:val="000000"/>
        </w:rPr>
        <w:t>An article in a magazine</w:t>
      </w:r>
    </w:p>
    <w:p w:rsidR="00764CC4" w:rsidRDefault="008C271C">
      <w:pPr>
        <w:ind w:left="360" w:hanging="360"/>
      </w:pPr>
      <w:r>
        <w:rPr>
          <w:color w:val="000000"/>
        </w:rPr>
        <w:t>McEvoy, Dermot. “Little Books, Big Success</w:t>
      </w:r>
      <w:r>
        <w:rPr>
          <w:color w:val="000000"/>
        </w:rPr>
        <w:t xml:space="preserve">.” </w:t>
      </w:r>
      <w:r>
        <w:rPr>
          <w:i/>
          <w:color w:val="000000"/>
        </w:rPr>
        <w:t>Publishers Weekly</w:t>
      </w:r>
      <w:r>
        <w:rPr>
          <w:color w:val="000000"/>
        </w:rPr>
        <w:t xml:space="preserve"> 30 Oct. 2006: 26-28. Print.</w:t>
      </w:r>
    </w:p>
    <w:p w:rsidR="00764CC4" w:rsidRDefault="00764CC4"/>
    <w:p w:rsidR="00764CC4" w:rsidRDefault="008C271C">
      <w:pPr>
        <w:numPr>
          <w:ilvl w:val="0"/>
          <w:numId w:val="1"/>
        </w:numPr>
        <w:tabs>
          <w:tab w:val="num" w:pos="360"/>
        </w:tabs>
        <w:ind w:left="360"/>
      </w:pPr>
      <w:r>
        <w:rPr>
          <w:color w:val="000000"/>
        </w:rPr>
        <w:t>A review</w:t>
      </w:r>
    </w:p>
    <w:p w:rsidR="00764CC4" w:rsidRDefault="008C271C">
      <w:pPr>
        <w:ind w:left="540" w:hanging="540"/>
      </w:pPr>
      <w:r>
        <w:rPr>
          <w:color w:val="000000"/>
        </w:rPr>
        <w:t xml:space="preserve">Rev. of </w:t>
      </w:r>
      <w:r>
        <w:rPr>
          <w:i/>
          <w:color w:val="000000"/>
        </w:rPr>
        <w:t>Oxford Bible Atlas</w:t>
      </w:r>
      <w:r>
        <w:rPr>
          <w:color w:val="000000"/>
        </w:rPr>
        <w:t>, 4</w:t>
      </w:r>
      <w:r>
        <w:rPr>
          <w:color w:val="000000"/>
          <w:vertAlign w:val="superscript"/>
        </w:rPr>
        <w:t>th</w:t>
      </w:r>
      <w:r>
        <w:rPr>
          <w:color w:val="000000"/>
        </w:rPr>
        <w:t xml:space="preserve"> ed., by Adrian Curtis. </w:t>
      </w:r>
      <w:r>
        <w:rPr>
          <w:i/>
          <w:color w:val="000000"/>
        </w:rPr>
        <w:t>Kirkus Reviews</w:t>
      </w:r>
      <w:r>
        <w:rPr>
          <w:color w:val="000000"/>
        </w:rPr>
        <w:t xml:space="preserve"> 1 Sept. 2007: 4. Print.</w:t>
      </w:r>
    </w:p>
    <w:p w:rsidR="00764CC4" w:rsidRDefault="00764CC4">
      <w:pPr>
        <w:ind w:left="540" w:hanging="540"/>
      </w:pPr>
    </w:p>
    <w:p w:rsidR="00764CC4" w:rsidRDefault="008C271C">
      <w:pPr>
        <w:numPr>
          <w:ilvl w:val="0"/>
          <w:numId w:val="1"/>
        </w:numPr>
        <w:tabs>
          <w:tab w:val="num" w:pos="360"/>
        </w:tabs>
        <w:ind w:left="360"/>
      </w:pPr>
      <w:r>
        <w:rPr>
          <w:color w:val="000000"/>
        </w:rPr>
        <w:t>An anonymous article</w:t>
      </w:r>
    </w:p>
    <w:p w:rsidR="00764CC4" w:rsidRDefault="008C271C">
      <w:r>
        <w:rPr>
          <w:color w:val="000000"/>
        </w:rPr>
        <w:t xml:space="preserve">“It Barks! It Kicks! It Scores!” </w:t>
      </w:r>
      <w:r>
        <w:rPr>
          <w:i/>
          <w:color w:val="000000"/>
        </w:rPr>
        <w:t>Newsweek</w:t>
      </w:r>
      <w:r>
        <w:rPr>
          <w:color w:val="000000"/>
        </w:rPr>
        <w:t xml:space="preserve"> 30 July 2001: 12. Print.</w:t>
      </w:r>
    </w:p>
    <w:p w:rsidR="00764CC4" w:rsidRDefault="00764CC4"/>
    <w:p w:rsidR="00764CC4" w:rsidRDefault="008C271C">
      <w:pPr>
        <w:numPr>
          <w:ilvl w:val="0"/>
          <w:numId w:val="1"/>
        </w:numPr>
        <w:tabs>
          <w:tab w:val="num" w:pos="360"/>
        </w:tabs>
        <w:ind w:left="360"/>
      </w:pPr>
      <w:r>
        <w:rPr>
          <w:color w:val="000000"/>
        </w:rPr>
        <w:t>An editorial</w:t>
      </w:r>
    </w:p>
    <w:p w:rsidR="00764CC4" w:rsidRDefault="008C271C">
      <w:pPr>
        <w:ind w:left="540" w:hanging="540"/>
      </w:pPr>
      <w:r>
        <w:rPr>
          <w:color w:val="000000"/>
        </w:rPr>
        <w:t xml:space="preserve">Gergen, David. “A Question of Values.” Editorial. </w:t>
      </w:r>
      <w:r>
        <w:rPr>
          <w:i/>
          <w:color w:val="000000"/>
        </w:rPr>
        <w:t>US News and World Report</w:t>
      </w:r>
      <w:r>
        <w:rPr>
          <w:color w:val="000000"/>
        </w:rPr>
        <w:t xml:space="preserve"> 11 Feb. 2002: 72. Print.</w:t>
      </w:r>
    </w:p>
    <w:p w:rsidR="00764CC4" w:rsidRDefault="00764CC4"/>
    <w:p w:rsidR="00764CC4" w:rsidRDefault="008C271C">
      <w:pPr>
        <w:numPr>
          <w:ilvl w:val="0"/>
          <w:numId w:val="1"/>
        </w:numPr>
        <w:tabs>
          <w:tab w:val="num" w:pos="360"/>
        </w:tabs>
        <w:ind w:left="360"/>
      </w:pPr>
      <w:r>
        <w:rPr>
          <w:color w:val="000000"/>
        </w:rPr>
        <w:t>A letter to the editor</w:t>
      </w:r>
    </w:p>
    <w:p w:rsidR="00764CC4" w:rsidRDefault="008C271C">
      <w:r>
        <w:rPr>
          <w:color w:val="000000"/>
        </w:rPr>
        <w:t xml:space="preserve">Safer, Morley. Letter. </w:t>
      </w:r>
      <w:r>
        <w:rPr>
          <w:i/>
          <w:color w:val="000000"/>
        </w:rPr>
        <w:t>New York Times</w:t>
      </w:r>
      <w:r>
        <w:rPr>
          <w:color w:val="000000"/>
        </w:rPr>
        <w:t xml:space="preserve"> 31 Oct. 1993, late ed., sec. 2: 4. Print</w:t>
      </w:r>
    </w:p>
    <w:p w:rsidR="00764CC4" w:rsidRDefault="00764CC4"/>
    <w:p w:rsidR="00764CC4" w:rsidRDefault="008C271C">
      <w:r>
        <w:rPr>
          <w:b/>
          <w:color w:val="000000"/>
        </w:rPr>
        <w:t>Citing Nonperiodical Print Publications</w:t>
      </w:r>
    </w:p>
    <w:p w:rsidR="00764CC4" w:rsidRDefault="00764CC4"/>
    <w:p w:rsidR="00764CC4" w:rsidRDefault="008C271C">
      <w:pPr>
        <w:numPr>
          <w:ilvl w:val="0"/>
          <w:numId w:val="3"/>
        </w:numPr>
        <w:tabs>
          <w:tab w:val="num" w:pos="720"/>
        </w:tabs>
      </w:pPr>
      <w:r>
        <w:rPr>
          <w:color w:val="000000"/>
        </w:rPr>
        <w:t>Name of the</w:t>
      </w:r>
      <w:r>
        <w:rPr>
          <w:color w:val="000000"/>
        </w:rPr>
        <w:t xml:space="preserve"> author, editor, compiler, or translator</w:t>
      </w:r>
    </w:p>
    <w:p w:rsidR="00764CC4" w:rsidRDefault="008C271C">
      <w:pPr>
        <w:numPr>
          <w:ilvl w:val="0"/>
          <w:numId w:val="3"/>
        </w:numPr>
        <w:tabs>
          <w:tab w:val="num" w:pos="720"/>
        </w:tabs>
      </w:pPr>
      <w:r>
        <w:rPr>
          <w:color w:val="000000"/>
        </w:rPr>
        <w:t>Title of the work</w:t>
      </w:r>
    </w:p>
    <w:p w:rsidR="00764CC4" w:rsidRDefault="008C271C">
      <w:pPr>
        <w:numPr>
          <w:ilvl w:val="0"/>
          <w:numId w:val="3"/>
        </w:numPr>
        <w:tabs>
          <w:tab w:val="num" w:pos="720"/>
        </w:tabs>
      </w:pPr>
      <w:r>
        <w:rPr>
          <w:color w:val="000000"/>
        </w:rPr>
        <w:t>Edition used</w:t>
      </w:r>
    </w:p>
    <w:p w:rsidR="00764CC4" w:rsidRDefault="008C271C">
      <w:pPr>
        <w:numPr>
          <w:ilvl w:val="0"/>
          <w:numId w:val="3"/>
        </w:numPr>
        <w:tabs>
          <w:tab w:val="num" w:pos="720"/>
        </w:tabs>
      </w:pPr>
      <w:r>
        <w:rPr>
          <w:color w:val="000000"/>
        </w:rPr>
        <w:t>Number(s) of the volume(s) used</w:t>
      </w:r>
    </w:p>
    <w:p w:rsidR="00764CC4" w:rsidRDefault="008C271C">
      <w:pPr>
        <w:numPr>
          <w:ilvl w:val="0"/>
          <w:numId w:val="3"/>
        </w:numPr>
        <w:tabs>
          <w:tab w:val="num" w:pos="720"/>
        </w:tabs>
      </w:pPr>
      <w:r>
        <w:rPr>
          <w:color w:val="000000"/>
        </w:rPr>
        <w:t>City of publication, name of the publisher, and year of publication</w:t>
      </w:r>
    </w:p>
    <w:p w:rsidR="00764CC4" w:rsidRDefault="008C271C">
      <w:pPr>
        <w:numPr>
          <w:ilvl w:val="0"/>
          <w:numId w:val="3"/>
        </w:numPr>
        <w:tabs>
          <w:tab w:val="num" w:pos="720"/>
        </w:tabs>
      </w:pPr>
      <w:r>
        <w:rPr>
          <w:color w:val="000000"/>
        </w:rPr>
        <w:t>Medium of publication consulted (Print)</w:t>
      </w:r>
    </w:p>
    <w:p w:rsidR="00764CC4" w:rsidRDefault="008C271C">
      <w:pPr>
        <w:numPr>
          <w:ilvl w:val="0"/>
          <w:numId w:val="3"/>
        </w:numPr>
        <w:tabs>
          <w:tab w:val="num" w:pos="720"/>
        </w:tabs>
      </w:pPr>
      <w:r>
        <w:rPr>
          <w:color w:val="000000"/>
        </w:rPr>
        <w:t xml:space="preserve">Supplementary bibliographic information and </w:t>
      </w:r>
      <w:r>
        <w:rPr>
          <w:color w:val="000000"/>
        </w:rPr>
        <w:t>annotation</w:t>
      </w:r>
    </w:p>
    <w:p w:rsidR="00764CC4" w:rsidRDefault="00764CC4"/>
    <w:p w:rsidR="00764CC4" w:rsidRDefault="008C271C">
      <w:pPr>
        <w:numPr>
          <w:ilvl w:val="0"/>
          <w:numId w:val="4"/>
        </w:numPr>
        <w:tabs>
          <w:tab w:val="num" w:pos="360"/>
        </w:tabs>
        <w:ind w:left="360"/>
      </w:pPr>
      <w:r>
        <w:rPr>
          <w:color w:val="000000"/>
        </w:rPr>
        <w:t>A book by a single author</w:t>
      </w:r>
    </w:p>
    <w:p w:rsidR="00764CC4" w:rsidRDefault="008C271C">
      <w:pPr>
        <w:ind w:left="540" w:hanging="540"/>
      </w:pPr>
      <w:r>
        <w:rPr>
          <w:color w:val="000000"/>
        </w:rPr>
        <w:t xml:space="preserve">Franke, Damon. </w:t>
      </w:r>
      <w:r>
        <w:rPr>
          <w:i/>
          <w:color w:val="000000"/>
        </w:rPr>
        <w:t>Modernist Heresies: British Literary History, 1883-1924</w:t>
      </w:r>
      <w:r>
        <w:rPr>
          <w:color w:val="000000"/>
        </w:rPr>
        <w:t>. Columbus: Ohio State UP, 2008. Print.</w:t>
      </w:r>
    </w:p>
    <w:p w:rsidR="00764CC4" w:rsidRDefault="00764CC4"/>
    <w:p w:rsidR="00764CC4" w:rsidRDefault="008C271C">
      <w:pPr>
        <w:numPr>
          <w:ilvl w:val="0"/>
          <w:numId w:val="4"/>
        </w:numPr>
        <w:tabs>
          <w:tab w:val="num" w:pos="360"/>
        </w:tabs>
        <w:ind w:left="360"/>
      </w:pPr>
      <w:r>
        <w:rPr>
          <w:color w:val="000000"/>
        </w:rPr>
        <w:t>An anthology or a compilation</w:t>
      </w:r>
    </w:p>
    <w:p w:rsidR="00764CC4" w:rsidRDefault="008C271C">
      <w:pPr>
        <w:ind w:left="540" w:hanging="540"/>
      </w:pPr>
      <w:r>
        <w:rPr>
          <w:color w:val="000000"/>
        </w:rPr>
        <w:t xml:space="preserve">Davis, Anita Price, comp. </w:t>
      </w:r>
      <w:r>
        <w:rPr>
          <w:i/>
          <w:color w:val="000000"/>
        </w:rPr>
        <w:t>North Carolina</w:t>
      </w:r>
      <w:r>
        <w:rPr>
          <w:i/>
          <w:color w:val="000000"/>
        </w:rPr>
        <w:t xml:space="preserve"> during the Great Depression: A Documentary Portrait of a Decade.</w:t>
      </w:r>
      <w:r>
        <w:rPr>
          <w:color w:val="000000"/>
        </w:rPr>
        <w:t xml:space="preserve"> Jefferson: McFarland, 2003. Print.</w:t>
      </w:r>
    </w:p>
    <w:p w:rsidR="00764CC4" w:rsidRDefault="00764CC4"/>
    <w:p w:rsidR="00764CC4" w:rsidRDefault="008C271C">
      <w:pPr>
        <w:numPr>
          <w:ilvl w:val="0"/>
          <w:numId w:val="4"/>
        </w:numPr>
        <w:tabs>
          <w:tab w:val="num" w:pos="360"/>
        </w:tabs>
        <w:ind w:left="360"/>
      </w:pPr>
      <w:r>
        <w:rPr>
          <w:color w:val="000000"/>
        </w:rPr>
        <w:t>A book by two or more authors</w:t>
      </w:r>
    </w:p>
    <w:p w:rsidR="00764CC4" w:rsidRDefault="008C271C">
      <w:pPr>
        <w:ind w:left="540" w:hanging="540"/>
      </w:pPr>
      <w:r>
        <w:rPr>
          <w:color w:val="000000"/>
        </w:rPr>
        <w:t xml:space="preserve">Booth, Wayne C., Gregory G. Colomb, and Joseph M. Williams. </w:t>
      </w:r>
      <w:r>
        <w:rPr>
          <w:i/>
          <w:color w:val="000000"/>
        </w:rPr>
        <w:t>The Craft of Research</w:t>
      </w:r>
      <w:r>
        <w:rPr>
          <w:color w:val="000000"/>
        </w:rPr>
        <w:t>. 2</w:t>
      </w:r>
      <w:r>
        <w:rPr>
          <w:color w:val="000000"/>
          <w:vertAlign w:val="superscript"/>
        </w:rPr>
        <w:t>nd</w:t>
      </w:r>
      <w:r>
        <w:rPr>
          <w:color w:val="000000"/>
        </w:rPr>
        <w:t xml:space="preserve"> ed. Chicago: U of Chicago P, 2003. Pr</w:t>
      </w:r>
      <w:r>
        <w:rPr>
          <w:color w:val="000000"/>
        </w:rPr>
        <w:t>int.</w:t>
      </w:r>
    </w:p>
    <w:p w:rsidR="00764CC4" w:rsidRDefault="00764CC4">
      <w:pPr>
        <w:ind w:left="540" w:hanging="540"/>
      </w:pPr>
    </w:p>
    <w:p w:rsidR="00764CC4" w:rsidRDefault="008C271C">
      <w:pPr>
        <w:ind w:left="540" w:hanging="540"/>
      </w:pPr>
      <w:r>
        <w:rPr>
          <w:color w:val="000000"/>
        </w:rPr>
        <w:t>More than three authors</w:t>
      </w:r>
    </w:p>
    <w:p w:rsidR="00764CC4" w:rsidRDefault="00764CC4">
      <w:pPr>
        <w:ind w:left="540" w:hanging="540"/>
      </w:pPr>
    </w:p>
    <w:p w:rsidR="00764CC4" w:rsidRDefault="008C271C">
      <w:pPr>
        <w:ind w:left="540" w:hanging="540"/>
      </w:pPr>
      <w:r>
        <w:rPr>
          <w:color w:val="000000"/>
        </w:rPr>
        <w:t xml:space="preserve">Plag, Ingo, et al. </w:t>
      </w:r>
      <w:r>
        <w:rPr>
          <w:i/>
          <w:color w:val="000000"/>
        </w:rPr>
        <w:t>Introduction to English Linguistics</w:t>
      </w:r>
      <w:r>
        <w:rPr>
          <w:color w:val="000000"/>
        </w:rPr>
        <w:t>. Berlin: Mouton, 2007. Print.</w:t>
      </w:r>
    </w:p>
    <w:p w:rsidR="00764CC4" w:rsidRDefault="00764CC4"/>
    <w:p w:rsidR="00764CC4" w:rsidRDefault="008C271C">
      <w:pPr>
        <w:numPr>
          <w:ilvl w:val="0"/>
          <w:numId w:val="4"/>
        </w:numPr>
        <w:tabs>
          <w:tab w:val="num" w:pos="360"/>
        </w:tabs>
        <w:ind w:left="360"/>
      </w:pPr>
      <w:r>
        <w:rPr>
          <w:color w:val="000000"/>
        </w:rPr>
        <w:t>A book by a corporate author</w:t>
      </w:r>
    </w:p>
    <w:p w:rsidR="00764CC4" w:rsidRDefault="008C271C">
      <w:pPr>
        <w:ind w:left="540" w:hanging="540"/>
      </w:pPr>
      <w:r>
        <w:rPr>
          <w:color w:val="000000"/>
        </w:rPr>
        <w:t xml:space="preserve">National Research Council. </w:t>
      </w:r>
      <w:r>
        <w:rPr>
          <w:i/>
          <w:color w:val="000000"/>
        </w:rPr>
        <w:t>Beyond Six Billion: Forecasting the World’s Population</w:t>
      </w:r>
      <w:r>
        <w:rPr>
          <w:color w:val="000000"/>
        </w:rPr>
        <w:t>. Washington: Natl. Acad., 20</w:t>
      </w:r>
      <w:r>
        <w:rPr>
          <w:color w:val="000000"/>
        </w:rPr>
        <w:t>00. Print.</w:t>
      </w:r>
    </w:p>
    <w:p w:rsidR="00764CC4" w:rsidRDefault="00764CC4"/>
    <w:p w:rsidR="00764CC4" w:rsidRDefault="008C271C">
      <w:pPr>
        <w:numPr>
          <w:ilvl w:val="0"/>
          <w:numId w:val="4"/>
        </w:numPr>
        <w:tabs>
          <w:tab w:val="num" w:pos="360"/>
        </w:tabs>
        <w:ind w:left="360"/>
      </w:pPr>
      <w:r>
        <w:rPr>
          <w:color w:val="000000"/>
        </w:rPr>
        <w:t>A work in an anthology</w:t>
      </w:r>
    </w:p>
    <w:p w:rsidR="00764CC4" w:rsidRDefault="008C271C">
      <w:r>
        <w:rPr>
          <w:b/>
          <w:color w:val="000000"/>
        </w:rPr>
        <w:t>Author, title, and (if relevant) translator of the part of the book being cited</w:t>
      </w:r>
    </w:p>
    <w:p w:rsidR="00764CC4" w:rsidRDefault="00764CC4"/>
    <w:p w:rsidR="00764CC4" w:rsidRDefault="008C271C">
      <w:pPr>
        <w:ind w:left="540" w:hanging="540"/>
      </w:pPr>
      <w:r>
        <w:rPr>
          <w:color w:val="000000"/>
        </w:rPr>
        <w:t xml:space="preserve">Allende, Isabel. “Toad’s Mouth.” Trans. Margaret Sayers Peden. </w:t>
      </w:r>
      <w:r>
        <w:rPr>
          <w:i/>
          <w:color w:val="000000"/>
        </w:rPr>
        <w:t>A Hammock Beneath the Mangoes: Stories from Latin America.</w:t>
      </w:r>
    </w:p>
    <w:p w:rsidR="00764CC4" w:rsidRDefault="00764CC4">
      <w:pPr>
        <w:ind w:left="540" w:hanging="540"/>
      </w:pPr>
    </w:p>
    <w:p w:rsidR="00764CC4" w:rsidRDefault="008C271C">
      <w:pPr>
        <w:ind w:left="540" w:hanging="540"/>
      </w:pPr>
      <w:r>
        <w:rPr>
          <w:b/>
          <w:color w:val="000000"/>
        </w:rPr>
        <w:t>Name of the edito</w:t>
      </w:r>
      <w:r>
        <w:rPr>
          <w:b/>
          <w:color w:val="000000"/>
        </w:rPr>
        <w:t>r, translator, or compiler of the book being cited</w:t>
      </w:r>
    </w:p>
    <w:p w:rsidR="00764CC4" w:rsidRDefault="00764CC4">
      <w:pPr>
        <w:ind w:left="540" w:hanging="540"/>
      </w:pPr>
    </w:p>
    <w:p w:rsidR="00764CC4" w:rsidRDefault="008C271C">
      <w:pPr>
        <w:ind w:left="540" w:hanging="540"/>
      </w:pPr>
      <w:r>
        <w:rPr>
          <w:color w:val="000000"/>
        </w:rPr>
        <w:t xml:space="preserve">Allende, Isabel. “Toad’s Mouth”. Trans. Margaret Sayers Peden. </w:t>
      </w:r>
      <w:r>
        <w:rPr>
          <w:i/>
          <w:color w:val="000000"/>
        </w:rPr>
        <w:t>A Hammock Beneath the Mangoes: Stories from Latin America</w:t>
      </w:r>
      <w:r>
        <w:rPr>
          <w:color w:val="000000"/>
        </w:rPr>
        <w:t>. Ed. Thomas Colchie.</w:t>
      </w:r>
    </w:p>
    <w:p w:rsidR="00764CC4" w:rsidRDefault="00764CC4">
      <w:pPr>
        <w:ind w:left="540" w:hanging="540"/>
      </w:pPr>
    </w:p>
    <w:p w:rsidR="00764CC4" w:rsidRDefault="00764CC4">
      <w:pPr>
        <w:ind w:left="540" w:hanging="540"/>
      </w:pPr>
    </w:p>
    <w:p w:rsidR="00764CC4" w:rsidRDefault="008C271C">
      <w:pPr>
        <w:numPr>
          <w:ilvl w:val="0"/>
          <w:numId w:val="4"/>
        </w:numPr>
        <w:tabs>
          <w:tab w:val="num" w:pos="360"/>
        </w:tabs>
        <w:ind w:left="360"/>
      </w:pPr>
      <w:r>
        <w:rPr>
          <w:color w:val="000000"/>
        </w:rPr>
        <w:lastRenderedPageBreak/>
        <w:t>An article in a reference book</w:t>
      </w:r>
    </w:p>
    <w:p w:rsidR="00764CC4" w:rsidRDefault="008C271C">
      <w:pPr>
        <w:ind w:left="540" w:hanging="540"/>
      </w:pPr>
      <w:r>
        <w:rPr>
          <w:color w:val="000000"/>
        </w:rPr>
        <w:t>“Azimuthal Equidistant Projec</w:t>
      </w:r>
      <w:r>
        <w:rPr>
          <w:color w:val="000000"/>
        </w:rPr>
        <w:t xml:space="preserve">tion.” </w:t>
      </w:r>
      <w:r>
        <w:rPr>
          <w:i/>
          <w:color w:val="000000"/>
        </w:rPr>
        <w:t>Merriam-Webster’s Collegiate Dictionary</w:t>
      </w:r>
      <w:r>
        <w:rPr>
          <w:color w:val="000000"/>
        </w:rPr>
        <w:t>. 11</w:t>
      </w:r>
      <w:r>
        <w:rPr>
          <w:color w:val="000000"/>
          <w:vertAlign w:val="superscript"/>
        </w:rPr>
        <w:t>th</w:t>
      </w:r>
      <w:r>
        <w:rPr>
          <w:color w:val="000000"/>
        </w:rPr>
        <w:t xml:space="preserve"> ed. 2003. Print.</w:t>
      </w:r>
    </w:p>
    <w:p w:rsidR="00764CC4" w:rsidRDefault="00764CC4"/>
    <w:p w:rsidR="00764CC4" w:rsidRDefault="008C271C">
      <w:pPr>
        <w:numPr>
          <w:ilvl w:val="0"/>
          <w:numId w:val="4"/>
        </w:numPr>
        <w:tabs>
          <w:tab w:val="num" w:pos="360"/>
        </w:tabs>
        <w:ind w:left="360"/>
      </w:pPr>
      <w:r>
        <w:rPr>
          <w:color w:val="000000"/>
        </w:rPr>
        <w:t>An introduction, a preface, a foreword, or an afterword</w:t>
      </w:r>
    </w:p>
    <w:p w:rsidR="00764CC4" w:rsidRDefault="008C271C">
      <w:pPr>
        <w:ind w:left="540" w:hanging="540"/>
      </w:pPr>
      <w:r>
        <w:rPr>
          <w:color w:val="000000"/>
        </w:rPr>
        <w:t xml:space="preserve">Borges, Jorge Luis. Foreword. </w:t>
      </w:r>
      <w:r>
        <w:rPr>
          <w:i/>
          <w:color w:val="000000"/>
        </w:rPr>
        <w:t>Selected Poems, 1923-1967</w:t>
      </w:r>
      <w:r>
        <w:rPr>
          <w:color w:val="000000"/>
        </w:rPr>
        <w:t xml:space="preserve">. By Borges.  Ed. Norman Thomas Di Giovanni. New York: Delta-Dell, 1973. </w:t>
      </w:r>
      <w:r>
        <w:rPr>
          <w:color w:val="000000"/>
        </w:rPr>
        <w:t>xv-xvi. Print.</w:t>
      </w:r>
    </w:p>
    <w:p w:rsidR="00764CC4" w:rsidRDefault="00764CC4"/>
    <w:p w:rsidR="00764CC4" w:rsidRDefault="008C271C">
      <w:pPr>
        <w:numPr>
          <w:ilvl w:val="0"/>
          <w:numId w:val="4"/>
        </w:numPr>
        <w:tabs>
          <w:tab w:val="num" w:pos="360"/>
        </w:tabs>
        <w:ind w:left="360"/>
      </w:pPr>
      <w:r>
        <w:rPr>
          <w:color w:val="000000"/>
        </w:rPr>
        <w:t>An anonymous book</w:t>
      </w:r>
    </w:p>
    <w:p w:rsidR="00764CC4" w:rsidRDefault="008C271C">
      <w:pPr>
        <w:ind w:left="540" w:hanging="540"/>
      </w:pPr>
      <w:r>
        <w:rPr>
          <w:i/>
          <w:color w:val="000000"/>
        </w:rPr>
        <w:t>American Heritage Guide to Contemporary Usage and Style</w:t>
      </w:r>
      <w:r>
        <w:rPr>
          <w:color w:val="000000"/>
        </w:rPr>
        <w:t>. Boston: Houghton, 2005. Print.</w:t>
      </w:r>
    </w:p>
    <w:p w:rsidR="00764CC4" w:rsidRDefault="00764CC4"/>
    <w:p w:rsidR="00764CC4" w:rsidRDefault="008C271C">
      <w:pPr>
        <w:numPr>
          <w:ilvl w:val="0"/>
          <w:numId w:val="4"/>
        </w:numPr>
        <w:tabs>
          <w:tab w:val="num" w:pos="360"/>
        </w:tabs>
        <w:ind w:left="360"/>
      </w:pPr>
      <w:r>
        <w:rPr>
          <w:color w:val="000000"/>
        </w:rPr>
        <w:t>A scholarly edition</w:t>
      </w:r>
    </w:p>
    <w:p w:rsidR="00764CC4" w:rsidRDefault="008C271C">
      <w:pPr>
        <w:ind w:left="540" w:hanging="540"/>
      </w:pPr>
      <w:r>
        <w:rPr>
          <w:color w:val="000000"/>
        </w:rPr>
        <w:t xml:space="preserve">Austen, Jane. </w:t>
      </w:r>
      <w:r>
        <w:rPr>
          <w:i/>
          <w:color w:val="000000"/>
        </w:rPr>
        <w:t>Sense and Sensibility</w:t>
      </w:r>
      <w:r>
        <w:rPr>
          <w:color w:val="000000"/>
        </w:rPr>
        <w:t>. Ed. Claudia Johnson. New York: Norton, 2001. Print.</w:t>
      </w:r>
    </w:p>
    <w:p w:rsidR="00764CC4" w:rsidRDefault="00764CC4"/>
    <w:p w:rsidR="00764CC4" w:rsidRDefault="008C271C">
      <w:pPr>
        <w:numPr>
          <w:ilvl w:val="0"/>
          <w:numId w:val="4"/>
        </w:numPr>
        <w:tabs>
          <w:tab w:val="num" w:pos="360"/>
        </w:tabs>
        <w:ind w:left="360"/>
      </w:pPr>
      <w:r>
        <w:rPr>
          <w:color w:val="000000"/>
        </w:rPr>
        <w:t>A translation</w:t>
      </w:r>
    </w:p>
    <w:p w:rsidR="00764CC4" w:rsidRDefault="008C271C">
      <w:pPr>
        <w:ind w:left="540" w:hanging="540"/>
      </w:pPr>
      <w:r>
        <w:rPr>
          <w:i/>
          <w:color w:val="000000"/>
        </w:rPr>
        <w:t>Beowulf</w:t>
      </w:r>
      <w:r>
        <w:rPr>
          <w:color w:val="000000"/>
        </w:rPr>
        <w:t>. Trans. E. Talbot Donaldson. Ed. Nicholas Howe. New York: Norton, 2001. Print.</w:t>
      </w:r>
    </w:p>
    <w:p w:rsidR="00764CC4" w:rsidRDefault="00764CC4"/>
    <w:p w:rsidR="00764CC4" w:rsidRDefault="008C271C">
      <w:pPr>
        <w:numPr>
          <w:ilvl w:val="0"/>
          <w:numId w:val="4"/>
        </w:numPr>
        <w:tabs>
          <w:tab w:val="num" w:pos="360"/>
        </w:tabs>
        <w:ind w:left="360"/>
      </w:pPr>
      <w:r>
        <w:rPr>
          <w:color w:val="000000"/>
        </w:rPr>
        <w:t>An illustrated book or a graphic narrative</w:t>
      </w:r>
    </w:p>
    <w:p w:rsidR="00764CC4" w:rsidRDefault="008C271C">
      <w:pPr>
        <w:ind w:left="540" w:hanging="540"/>
      </w:pPr>
      <w:r>
        <w:rPr>
          <w:color w:val="000000"/>
        </w:rPr>
        <w:t xml:space="preserve">Baum, L. Frank. </w:t>
      </w:r>
      <w:r>
        <w:rPr>
          <w:i/>
          <w:color w:val="000000"/>
        </w:rPr>
        <w:t>The Wonderful Wizard of Oz</w:t>
      </w:r>
      <w:r>
        <w:rPr>
          <w:color w:val="000000"/>
        </w:rPr>
        <w:t>. Introd. Regina Barreca. Illus. W.W. Denslow. New York: Signet-Penguin, 2006. Print.</w:t>
      </w:r>
    </w:p>
    <w:p w:rsidR="00764CC4" w:rsidRDefault="00764CC4">
      <w:pPr>
        <w:ind w:left="540" w:hanging="540"/>
      </w:pPr>
    </w:p>
    <w:p w:rsidR="00764CC4" w:rsidRDefault="008C271C">
      <w:pPr>
        <w:numPr>
          <w:ilvl w:val="0"/>
          <w:numId w:val="4"/>
        </w:numPr>
        <w:tabs>
          <w:tab w:val="num" w:pos="360"/>
        </w:tabs>
        <w:ind w:left="360"/>
      </w:pPr>
      <w:r>
        <w:rPr>
          <w:color w:val="000000"/>
        </w:rPr>
        <w:t>A b</w:t>
      </w:r>
      <w:r>
        <w:rPr>
          <w:color w:val="000000"/>
        </w:rPr>
        <w:t>ook published in a second or subsequent edition</w:t>
      </w:r>
    </w:p>
    <w:p w:rsidR="00764CC4" w:rsidRDefault="008C271C">
      <w:pPr>
        <w:ind w:left="540" w:hanging="540"/>
      </w:pPr>
      <w:r>
        <w:rPr>
          <w:color w:val="000000"/>
        </w:rPr>
        <w:t xml:space="preserve">Baker, Nancy L., and Nancy Huling. </w:t>
      </w:r>
      <w:r>
        <w:rPr>
          <w:i/>
          <w:color w:val="000000"/>
        </w:rPr>
        <w:t>A Research Guide for Undergraduate Students: English and American Literature</w:t>
      </w:r>
      <w:r>
        <w:rPr>
          <w:color w:val="000000"/>
        </w:rPr>
        <w:t>. 6</w:t>
      </w:r>
      <w:r>
        <w:rPr>
          <w:color w:val="000000"/>
          <w:vertAlign w:val="superscript"/>
        </w:rPr>
        <w:t>th</w:t>
      </w:r>
      <w:r>
        <w:rPr>
          <w:color w:val="000000"/>
        </w:rPr>
        <w:t xml:space="preserve"> ed. New York: MLA, 2006. Print.</w:t>
      </w:r>
    </w:p>
    <w:p w:rsidR="00764CC4" w:rsidRDefault="00764CC4"/>
    <w:p w:rsidR="00764CC4" w:rsidRDefault="008C271C">
      <w:pPr>
        <w:numPr>
          <w:ilvl w:val="0"/>
          <w:numId w:val="4"/>
        </w:numPr>
        <w:tabs>
          <w:tab w:val="num" w:pos="360"/>
        </w:tabs>
        <w:ind w:left="360"/>
      </w:pPr>
      <w:r>
        <w:rPr>
          <w:color w:val="000000"/>
        </w:rPr>
        <w:t>A republished book or journal issue</w:t>
      </w:r>
    </w:p>
    <w:p w:rsidR="00764CC4" w:rsidRDefault="008C271C">
      <w:r>
        <w:rPr>
          <w:color w:val="000000"/>
        </w:rPr>
        <w:t xml:space="preserve">Atwood, Margaret. </w:t>
      </w:r>
      <w:r>
        <w:rPr>
          <w:i/>
          <w:color w:val="000000"/>
        </w:rPr>
        <w:t xml:space="preserve">The </w:t>
      </w:r>
      <w:r>
        <w:rPr>
          <w:i/>
          <w:color w:val="000000"/>
        </w:rPr>
        <w:t>Blind Assassin</w:t>
      </w:r>
      <w:r>
        <w:rPr>
          <w:color w:val="000000"/>
        </w:rPr>
        <w:t>. 2000. New York: Knopf-Random, 2001. Print.</w:t>
      </w:r>
    </w:p>
    <w:p w:rsidR="00764CC4" w:rsidRDefault="00764CC4"/>
    <w:p w:rsidR="00764CC4" w:rsidRDefault="008C271C">
      <w:r>
        <w:rPr>
          <w:b/>
          <w:color w:val="000000"/>
        </w:rPr>
        <w:t>Citing Web Publications</w:t>
      </w:r>
    </w:p>
    <w:p w:rsidR="00764CC4" w:rsidRDefault="00764CC4"/>
    <w:p w:rsidR="00764CC4" w:rsidRDefault="008C271C">
      <w:pPr>
        <w:numPr>
          <w:ilvl w:val="0"/>
          <w:numId w:val="5"/>
        </w:numPr>
        <w:tabs>
          <w:tab w:val="num" w:pos="360"/>
        </w:tabs>
        <w:ind w:left="360"/>
      </w:pPr>
      <w:r>
        <w:rPr>
          <w:color w:val="000000"/>
        </w:rPr>
        <w:t>A nonperiodical publication</w:t>
      </w:r>
    </w:p>
    <w:p w:rsidR="00764CC4" w:rsidRDefault="008C271C">
      <w:r>
        <w:rPr>
          <w:color w:val="000000"/>
        </w:rPr>
        <w:t>An entry for a nonperiodical publication on the Web usually contains most of the following components, in sequence:</w:t>
      </w:r>
    </w:p>
    <w:p w:rsidR="00764CC4" w:rsidRDefault="008C271C">
      <w:pPr>
        <w:numPr>
          <w:ilvl w:val="1"/>
          <w:numId w:val="5"/>
        </w:numPr>
        <w:tabs>
          <w:tab w:val="num" w:pos="720"/>
        </w:tabs>
        <w:ind w:left="720"/>
      </w:pPr>
      <w:r>
        <w:rPr>
          <w:color w:val="000000"/>
        </w:rPr>
        <w:t xml:space="preserve">Name of the author, </w:t>
      </w:r>
      <w:r>
        <w:rPr>
          <w:color w:val="000000"/>
        </w:rPr>
        <w:t>compiler, director, editor, narrator, performer, or translator of the work</w:t>
      </w:r>
    </w:p>
    <w:p w:rsidR="00764CC4" w:rsidRDefault="008C271C">
      <w:pPr>
        <w:numPr>
          <w:ilvl w:val="1"/>
          <w:numId w:val="5"/>
        </w:numPr>
        <w:tabs>
          <w:tab w:val="num" w:pos="720"/>
        </w:tabs>
        <w:ind w:left="720"/>
      </w:pPr>
      <w:r>
        <w:rPr>
          <w:color w:val="000000"/>
        </w:rPr>
        <w:t>Title of the work (italicized if the work is independent; in roman type and quotation marks if the work is part of a larger work)</w:t>
      </w:r>
    </w:p>
    <w:p w:rsidR="00764CC4" w:rsidRDefault="008C271C">
      <w:pPr>
        <w:numPr>
          <w:ilvl w:val="1"/>
          <w:numId w:val="5"/>
        </w:numPr>
        <w:tabs>
          <w:tab w:val="num" w:pos="720"/>
        </w:tabs>
        <w:ind w:left="720"/>
      </w:pPr>
      <w:r>
        <w:rPr>
          <w:color w:val="000000"/>
        </w:rPr>
        <w:t>Title of overall Web site (italicized), if distinct</w:t>
      </w:r>
      <w:r>
        <w:rPr>
          <w:color w:val="000000"/>
        </w:rPr>
        <w:t xml:space="preserve"> from item 2</w:t>
      </w:r>
    </w:p>
    <w:p w:rsidR="00764CC4" w:rsidRDefault="008C271C">
      <w:pPr>
        <w:numPr>
          <w:ilvl w:val="1"/>
          <w:numId w:val="5"/>
        </w:numPr>
        <w:tabs>
          <w:tab w:val="num" w:pos="720"/>
        </w:tabs>
        <w:ind w:left="720"/>
      </w:pPr>
      <w:r>
        <w:rPr>
          <w:color w:val="000000"/>
        </w:rPr>
        <w:t>Version or edition used</w:t>
      </w:r>
    </w:p>
    <w:p w:rsidR="00764CC4" w:rsidRDefault="008C271C">
      <w:pPr>
        <w:numPr>
          <w:ilvl w:val="1"/>
          <w:numId w:val="5"/>
        </w:numPr>
        <w:tabs>
          <w:tab w:val="num" w:pos="720"/>
        </w:tabs>
        <w:ind w:left="720"/>
      </w:pPr>
      <w:r>
        <w:rPr>
          <w:color w:val="000000"/>
        </w:rPr>
        <w:t>Publisher or sponsors of the site; if not available use N.p.</w:t>
      </w:r>
    </w:p>
    <w:p w:rsidR="00764CC4" w:rsidRDefault="008C271C">
      <w:pPr>
        <w:numPr>
          <w:ilvl w:val="1"/>
          <w:numId w:val="5"/>
        </w:numPr>
        <w:tabs>
          <w:tab w:val="num" w:pos="720"/>
        </w:tabs>
        <w:ind w:left="720"/>
      </w:pPr>
      <w:r>
        <w:rPr>
          <w:color w:val="000000"/>
        </w:rPr>
        <w:t>Date of publication (day, month, and year, as available); if nothing is available, use n.d.</w:t>
      </w:r>
    </w:p>
    <w:p w:rsidR="00764CC4" w:rsidRDefault="008C271C">
      <w:pPr>
        <w:numPr>
          <w:ilvl w:val="1"/>
          <w:numId w:val="5"/>
        </w:numPr>
        <w:tabs>
          <w:tab w:val="num" w:pos="720"/>
        </w:tabs>
        <w:ind w:left="720"/>
      </w:pPr>
      <w:r>
        <w:rPr>
          <w:color w:val="000000"/>
        </w:rPr>
        <w:t>Medium of publication (Web)</w:t>
      </w:r>
    </w:p>
    <w:p w:rsidR="00764CC4" w:rsidRDefault="008C271C">
      <w:pPr>
        <w:numPr>
          <w:ilvl w:val="1"/>
          <w:numId w:val="5"/>
        </w:numPr>
        <w:tabs>
          <w:tab w:val="num" w:pos="720"/>
        </w:tabs>
        <w:ind w:left="720"/>
      </w:pPr>
      <w:r>
        <w:rPr>
          <w:color w:val="000000"/>
        </w:rPr>
        <w:lastRenderedPageBreak/>
        <w:t>Date of access (day, month, and year)</w:t>
      </w:r>
    </w:p>
    <w:p w:rsidR="00764CC4" w:rsidRDefault="00764CC4"/>
    <w:p w:rsidR="00764CC4" w:rsidRDefault="008C271C">
      <w:pPr>
        <w:ind w:left="540" w:hanging="540"/>
      </w:pPr>
      <w:r>
        <w:rPr>
          <w:color w:val="000000"/>
        </w:rPr>
        <w:t xml:space="preserve">Tyre, Peg. “Standardized Tests in College?” </w:t>
      </w:r>
      <w:r>
        <w:rPr>
          <w:i/>
          <w:color w:val="000000"/>
        </w:rPr>
        <w:t>Newsweek</w:t>
      </w:r>
      <w:r>
        <w:rPr>
          <w:color w:val="000000"/>
        </w:rPr>
        <w:t>. Newsweek, 16 Nov. 2007. Web. 15 May 2008.</w:t>
      </w:r>
    </w:p>
    <w:p w:rsidR="00764CC4" w:rsidRDefault="00764CC4">
      <w:pPr>
        <w:ind w:left="540" w:hanging="540"/>
      </w:pPr>
    </w:p>
    <w:p w:rsidR="00764CC4" w:rsidRDefault="008C271C">
      <w:pPr>
        <w:ind w:left="540" w:hanging="540"/>
      </w:pPr>
      <w:r>
        <w:rPr>
          <w:color w:val="000000"/>
        </w:rPr>
        <w:t xml:space="preserve">Yager, Susan, narr. “The Former Age.” By Geoffrey Chaucer. </w:t>
      </w:r>
      <w:r>
        <w:rPr>
          <w:i/>
          <w:color w:val="000000"/>
        </w:rPr>
        <w:t>Chaucer Metapage</w:t>
      </w:r>
      <w:r>
        <w:rPr>
          <w:color w:val="000000"/>
        </w:rPr>
        <w:t>. Ed. Mark E. Allen et al. U of North Carolina, 13 Feb. 2007. Web. 30 Nov. 2007.</w:t>
      </w:r>
    </w:p>
    <w:p w:rsidR="00764CC4" w:rsidRDefault="00764CC4">
      <w:pPr>
        <w:ind w:left="540" w:hanging="540"/>
      </w:pPr>
    </w:p>
    <w:p w:rsidR="00764CC4" w:rsidRDefault="008C271C">
      <w:pPr>
        <w:ind w:left="540" w:hanging="540"/>
      </w:pPr>
      <w:r>
        <w:rPr>
          <w:color w:val="000000"/>
        </w:rPr>
        <w:t>W</w:t>
      </w:r>
      <w:r>
        <w:rPr>
          <w:color w:val="000000"/>
        </w:rPr>
        <w:t>ith a URL</w:t>
      </w:r>
    </w:p>
    <w:p w:rsidR="00764CC4" w:rsidRDefault="00764CC4">
      <w:pPr>
        <w:ind w:left="540" w:hanging="540"/>
      </w:pPr>
    </w:p>
    <w:p w:rsidR="00764CC4" w:rsidRDefault="008C271C">
      <w:pPr>
        <w:ind w:left="540" w:hanging="540"/>
      </w:pPr>
      <w:r>
        <w:rPr>
          <w:color w:val="000000"/>
        </w:rPr>
        <w:t xml:space="preserve">Eaves, Morris, Robert Essick, and Joseph Viscomi, eds. </w:t>
      </w:r>
      <w:r>
        <w:rPr>
          <w:i/>
          <w:color w:val="000000"/>
        </w:rPr>
        <w:t>The William Blake Archive</w:t>
      </w:r>
      <w:r>
        <w:rPr>
          <w:color w:val="000000"/>
        </w:rPr>
        <w:t>. Lib. of Cong., 28 Sept. 2007. Web. 20 Nov. 2007. &lt;http://www.blakearchive.org/blake/&gt;.</w:t>
      </w:r>
    </w:p>
    <w:p w:rsidR="00764CC4" w:rsidRDefault="00764CC4"/>
    <w:p w:rsidR="00764CC4" w:rsidRDefault="008C271C">
      <w:pPr>
        <w:numPr>
          <w:ilvl w:val="0"/>
          <w:numId w:val="5"/>
        </w:numPr>
        <w:tabs>
          <w:tab w:val="num" w:pos="360"/>
        </w:tabs>
        <w:ind w:left="360"/>
      </w:pPr>
      <w:r>
        <w:rPr>
          <w:color w:val="000000"/>
        </w:rPr>
        <w:t>A scholarly journal</w:t>
      </w:r>
    </w:p>
    <w:p w:rsidR="00764CC4" w:rsidRDefault="008C271C">
      <w:pPr>
        <w:ind w:left="540" w:hanging="540"/>
      </w:pPr>
      <w:r>
        <w:rPr>
          <w:color w:val="000000"/>
        </w:rPr>
        <w:t xml:space="preserve">Armstrong, Grace. Rev. of </w:t>
      </w:r>
      <w:r>
        <w:rPr>
          <w:i/>
          <w:color w:val="000000"/>
        </w:rPr>
        <w:t>Fortune’s Faces: The Roman de</w:t>
      </w:r>
      <w:r>
        <w:rPr>
          <w:i/>
          <w:color w:val="000000"/>
        </w:rPr>
        <w:t xml:space="preserve"> la Rose and the Poetics of Contingency</w:t>
      </w:r>
      <w:r>
        <w:rPr>
          <w:color w:val="000000"/>
        </w:rPr>
        <w:t xml:space="preserve">, by Daniel Heller-Roazen. </w:t>
      </w:r>
      <w:r>
        <w:rPr>
          <w:i/>
          <w:color w:val="000000"/>
        </w:rPr>
        <w:t>Bryn Mawr Review of Comparative Literature</w:t>
      </w:r>
      <w:r>
        <w:rPr>
          <w:color w:val="000000"/>
        </w:rPr>
        <w:t xml:space="preserve"> 6.1 (2007): n. pag. Web. 5 June 2008.</w:t>
      </w:r>
    </w:p>
    <w:p w:rsidR="00764CC4" w:rsidRDefault="00764CC4"/>
    <w:p w:rsidR="00764CC4" w:rsidRDefault="008C271C">
      <w:pPr>
        <w:numPr>
          <w:ilvl w:val="0"/>
          <w:numId w:val="5"/>
        </w:numPr>
        <w:tabs>
          <w:tab w:val="num" w:pos="360"/>
        </w:tabs>
        <w:ind w:left="360"/>
      </w:pPr>
      <w:r>
        <w:rPr>
          <w:color w:val="000000"/>
        </w:rPr>
        <w:t>A periodical publication in an online database</w:t>
      </w:r>
    </w:p>
    <w:p w:rsidR="00764CC4" w:rsidRDefault="008C271C">
      <w:pPr>
        <w:ind w:left="540" w:hanging="540"/>
      </w:pPr>
      <w:r>
        <w:rPr>
          <w:color w:val="000000"/>
        </w:rPr>
        <w:t xml:space="preserve">Miller, Steven, and Sara Guyer, eds. </w:t>
      </w:r>
      <w:r>
        <w:rPr>
          <w:i/>
          <w:color w:val="000000"/>
        </w:rPr>
        <w:t>Literature and the Right</w:t>
      </w:r>
      <w:r>
        <w:rPr>
          <w:i/>
          <w:color w:val="000000"/>
        </w:rPr>
        <w:t xml:space="preserve"> to Marriage</w:t>
      </w:r>
      <w:r>
        <w:rPr>
          <w:color w:val="000000"/>
        </w:rPr>
        <w:t xml:space="preserve">. Spec. issue of </w:t>
      </w:r>
      <w:r>
        <w:rPr>
          <w:i/>
          <w:color w:val="000000"/>
        </w:rPr>
        <w:t>Diacritics</w:t>
      </w:r>
      <w:r>
        <w:rPr>
          <w:color w:val="000000"/>
        </w:rPr>
        <w:t xml:space="preserve"> 35.4 (2005): 1-124. </w:t>
      </w:r>
      <w:r>
        <w:rPr>
          <w:i/>
          <w:color w:val="000000"/>
        </w:rPr>
        <w:t>Project Muse</w:t>
      </w:r>
      <w:r>
        <w:rPr>
          <w:color w:val="000000"/>
        </w:rPr>
        <w:t>. Web. 5 June 2008.</w:t>
      </w:r>
    </w:p>
    <w:p w:rsidR="00764CC4" w:rsidRDefault="00764CC4"/>
    <w:p w:rsidR="00764CC4" w:rsidRDefault="008C271C">
      <w:pPr>
        <w:ind w:left="708" w:hanging="708"/>
      </w:pPr>
      <w:r>
        <w:rPr>
          <w:b/>
          <w:color w:val="000000"/>
        </w:rPr>
        <w:t>Citing Additional Common Sources</w:t>
      </w:r>
    </w:p>
    <w:p w:rsidR="00764CC4" w:rsidRDefault="00764CC4">
      <w:pPr>
        <w:ind w:left="708" w:hanging="708"/>
      </w:pPr>
    </w:p>
    <w:p w:rsidR="00764CC4" w:rsidRDefault="008C271C">
      <w:pPr>
        <w:numPr>
          <w:ilvl w:val="0"/>
          <w:numId w:val="2"/>
        </w:numPr>
        <w:tabs>
          <w:tab w:val="num" w:pos="360"/>
        </w:tabs>
        <w:ind w:left="360"/>
      </w:pPr>
      <w:r>
        <w:rPr>
          <w:color w:val="000000"/>
        </w:rPr>
        <w:t>A television or radio broadcast</w:t>
      </w:r>
    </w:p>
    <w:p w:rsidR="00764CC4" w:rsidRDefault="008C271C">
      <w:pPr>
        <w:numPr>
          <w:ilvl w:val="1"/>
          <w:numId w:val="2"/>
        </w:numPr>
        <w:tabs>
          <w:tab w:val="num" w:pos="720"/>
        </w:tabs>
        <w:ind w:left="720"/>
      </w:pPr>
      <w:r>
        <w:rPr>
          <w:color w:val="000000"/>
        </w:rPr>
        <w:t>Title of the episode or segment, if appropriate (in quotation marks)</w:t>
      </w:r>
    </w:p>
    <w:p w:rsidR="00764CC4" w:rsidRDefault="008C271C">
      <w:pPr>
        <w:numPr>
          <w:ilvl w:val="1"/>
          <w:numId w:val="2"/>
        </w:numPr>
        <w:tabs>
          <w:tab w:val="num" w:pos="720"/>
        </w:tabs>
        <w:ind w:left="720"/>
      </w:pPr>
      <w:r>
        <w:rPr>
          <w:color w:val="000000"/>
        </w:rPr>
        <w:t xml:space="preserve">Title of the program or </w:t>
      </w:r>
      <w:r>
        <w:rPr>
          <w:color w:val="000000"/>
        </w:rPr>
        <w:t>series (italicized)</w:t>
      </w:r>
    </w:p>
    <w:p w:rsidR="00764CC4" w:rsidRDefault="008C271C">
      <w:pPr>
        <w:numPr>
          <w:ilvl w:val="1"/>
          <w:numId w:val="2"/>
        </w:numPr>
        <w:tabs>
          <w:tab w:val="num" w:pos="720"/>
        </w:tabs>
        <w:ind w:left="720"/>
      </w:pPr>
      <w:r>
        <w:rPr>
          <w:color w:val="000000"/>
        </w:rPr>
        <w:t>Name of the network (if any)</w:t>
      </w:r>
    </w:p>
    <w:p w:rsidR="00764CC4" w:rsidRDefault="008C271C">
      <w:pPr>
        <w:numPr>
          <w:ilvl w:val="1"/>
          <w:numId w:val="2"/>
        </w:numPr>
        <w:tabs>
          <w:tab w:val="num" w:pos="720"/>
        </w:tabs>
        <w:ind w:left="720"/>
      </w:pPr>
      <w:r>
        <w:rPr>
          <w:color w:val="000000"/>
        </w:rPr>
        <w:t>Call letters and city of the local station (if any)</w:t>
      </w:r>
    </w:p>
    <w:p w:rsidR="00764CC4" w:rsidRDefault="008C271C">
      <w:pPr>
        <w:numPr>
          <w:ilvl w:val="1"/>
          <w:numId w:val="2"/>
        </w:numPr>
        <w:tabs>
          <w:tab w:val="num" w:pos="720"/>
        </w:tabs>
        <w:ind w:left="720"/>
      </w:pPr>
      <w:r>
        <w:rPr>
          <w:color w:val="000000"/>
        </w:rPr>
        <w:t>Broadcast date</w:t>
      </w:r>
    </w:p>
    <w:p w:rsidR="00764CC4" w:rsidRDefault="008C271C">
      <w:pPr>
        <w:numPr>
          <w:ilvl w:val="1"/>
          <w:numId w:val="2"/>
        </w:numPr>
        <w:tabs>
          <w:tab w:val="num" w:pos="720"/>
        </w:tabs>
        <w:ind w:left="720"/>
      </w:pPr>
      <w:r>
        <w:rPr>
          <w:color w:val="000000"/>
        </w:rPr>
        <w:t>Medium of reception (e.g., Radio, Television)</w:t>
      </w:r>
    </w:p>
    <w:p w:rsidR="00764CC4" w:rsidRDefault="008C271C">
      <w:pPr>
        <w:numPr>
          <w:ilvl w:val="1"/>
          <w:numId w:val="2"/>
        </w:numPr>
        <w:tabs>
          <w:tab w:val="num" w:pos="720"/>
        </w:tabs>
        <w:ind w:left="720"/>
      </w:pPr>
      <w:r>
        <w:rPr>
          <w:color w:val="000000"/>
        </w:rPr>
        <w:t>Supplementary information</w:t>
      </w:r>
    </w:p>
    <w:p w:rsidR="00764CC4" w:rsidRDefault="00764CC4"/>
    <w:p w:rsidR="00764CC4" w:rsidRDefault="008C271C">
      <w:pPr>
        <w:ind w:left="540" w:hanging="540"/>
      </w:pPr>
      <w:r>
        <w:rPr>
          <w:color w:val="000000"/>
        </w:rPr>
        <w:t xml:space="preserve">“Death and Society.” Narr. Joanne Silberner. </w:t>
      </w:r>
      <w:r>
        <w:rPr>
          <w:i/>
          <w:color w:val="000000"/>
        </w:rPr>
        <w:t>Weekend Edition Sunday</w:t>
      </w:r>
      <w:r>
        <w:rPr>
          <w:color w:val="000000"/>
        </w:rPr>
        <w:t>. Natl. Public Radio. WUWM, Milwaukee, 25 Jan. 1998. Radio.</w:t>
      </w:r>
    </w:p>
    <w:p w:rsidR="00764CC4" w:rsidRDefault="00764CC4">
      <w:pPr>
        <w:ind w:left="540" w:hanging="540"/>
      </w:pPr>
    </w:p>
    <w:p w:rsidR="00764CC4" w:rsidRDefault="008C271C">
      <w:pPr>
        <w:ind w:left="540" w:hanging="540"/>
      </w:pPr>
      <w:r>
        <w:rPr>
          <w:color w:val="000000"/>
        </w:rPr>
        <w:t xml:space="preserve">Wadey, Maggie, adapt. “The Buccaneers.” By Edith Wharton. Perf. Mira Sorvino, Alison Elliott, and Carla Gugino. 3 episodes. </w:t>
      </w:r>
      <w:r>
        <w:rPr>
          <w:i/>
          <w:color w:val="000000"/>
        </w:rPr>
        <w:t>Masterpiece Theatre</w:t>
      </w:r>
      <w:r>
        <w:rPr>
          <w:color w:val="000000"/>
        </w:rPr>
        <w:t>. Introd. Russell Baker. PBS. WGBH, Boston, 27 Apr.-</w:t>
      </w:r>
      <w:r>
        <w:rPr>
          <w:color w:val="000000"/>
        </w:rPr>
        <w:t>11 May 1997. Television.</w:t>
      </w:r>
    </w:p>
    <w:p w:rsidR="00764CC4" w:rsidRDefault="00764CC4">
      <w:pPr>
        <w:ind w:left="540" w:hanging="540"/>
      </w:pPr>
    </w:p>
    <w:p w:rsidR="00764CC4" w:rsidRDefault="008C271C">
      <w:pPr>
        <w:numPr>
          <w:ilvl w:val="0"/>
          <w:numId w:val="2"/>
        </w:numPr>
        <w:tabs>
          <w:tab w:val="num" w:pos="360"/>
        </w:tabs>
        <w:ind w:left="360"/>
      </w:pPr>
      <w:r>
        <w:rPr>
          <w:color w:val="000000"/>
        </w:rPr>
        <w:t>A sound recording</w:t>
      </w:r>
    </w:p>
    <w:p w:rsidR="00764CC4" w:rsidRDefault="008C271C">
      <w:pPr>
        <w:ind w:left="540" w:hanging="540"/>
      </w:pPr>
      <w:r>
        <w:rPr>
          <w:color w:val="000000"/>
        </w:rPr>
        <w:t xml:space="preserve">Ellington, Duke, cond. </w:t>
      </w:r>
      <w:r>
        <w:rPr>
          <w:i/>
          <w:color w:val="000000"/>
        </w:rPr>
        <w:t>First Carnegie Hall Concert</w:t>
      </w:r>
      <w:r>
        <w:rPr>
          <w:color w:val="000000"/>
        </w:rPr>
        <w:t>. Duke Ellington Orch. Rec. 23 Jan. 1943. Prestige, 1977. LP.</w:t>
      </w:r>
    </w:p>
    <w:p w:rsidR="00764CC4" w:rsidRDefault="00764CC4">
      <w:pPr>
        <w:ind w:left="540" w:hanging="540"/>
      </w:pPr>
    </w:p>
    <w:p w:rsidR="00764CC4" w:rsidRDefault="008C271C">
      <w:pPr>
        <w:ind w:left="540" w:hanging="540"/>
      </w:pPr>
      <w:r>
        <w:rPr>
          <w:color w:val="000000"/>
        </w:rPr>
        <w:t xml:space="preserve">Kronos Quartet. </w:t>
      </w:r>
      <w:r>
        <w:rPr>
          <w:i/>
          <w:color w:val="000000"/>
        </w:rPr>
        <w:t>Nuevo</w:t>
      </w:r>
      <w:r>
        <w:rPr>
          <w:color w:val="000000"/>
        </w:rPr>
        <w:t>. Nonesuch, 2002. CD.</w:t>
      </w:r>
    </w:p>
    <w:p w:rsidR="00764CC4" w:rsidRDefault="00764CC4"/>
    <w:p w:rsidR="00764CC4" w:rsidRDefault="008C271C">
      <w:pPr>
        <w:numPr>
          <w:ilvl w:val="0"/>
          <w:numId w:val="2"/>
        </w:numPr>
        <w:tabs>
          <w:tab w:val="num" w:pos="360"/>
        </w:tabs>
        <w:ind w:left="360"/>
      </w:pPr>
      <w:r>
        <w:rPr>
          <w:color w:val="000000"/>
        </w:rPr>
        <w:t>A film or a video recording</w:t>
      </w:r>
    </w:p>
    <w:p w:rsidR="00764CC4" w:rsidRDefault="008C271C">
      <w:pPr>
        <w:ind w:left="540" w:hanging="540"/>
      </w:pPr>
      <w:r>
        <w:rPr>
          <w:i/>
          <w:color w:val="000000"/>
        </w:rPr>
        <w:t>It’s a Wonderful Life</w:t>
      </w:r>
      <w:r>
        <w:rPr>
          <w:color w:val="000000"/>
        </w:rPr>
        <w:t>. Dir.</w:t>
      </w:r>
      <w:r>
        <w:rPr>
          <w:color w:val="000000"/>
        </w:rPr>
        <w:t xml:space="preserve"> Frank Capra. Perf. James Stewart, Donna Reed, Lionel Barrymore, and Thomas Mitchell, RKO, 1946. Film.</w:t>
      </w:r>
    </w:p>
    <w:p w:rsidR="00764CC4" w:rsidRDefault="00764CC4"/>
    <w:p w:rsidR="00764CC4" w:rsidRDefault="008C271C">
      <w:pPr>
        <w:ind w:left="540" w:hanging="540"/>
      </w:pPr>
      <w:r>
        <w:rPr>
          <w:i/>
          <w:color w:val="000000"/>
        </w:rPr>
        <w:t>Don Giovanni</w:t>
      </w:r>
      <w:r>
        <w:rPr>
          <w:color w:val="000000"/>
        </w:rPr>
        <w:t>. By Wolfgang Amadeus Mozart. Dir. Joseph Losey. Perf. Ruggero Raimondi and Kiri Te Kanawa. Paris Opera Orch. and Chorus. Cond. Loren Maazel</w:t>
      </w:r>
      <w:r>
        <w:rPr>
          <w:color w:val="000000"/>
        </w:rPr>
        <w:t>. 1979. Columbia, 2002. DVD.</w:t>
      </w:r>
    </w:p>
    <w:p w:rsidR="00764CC4" w:rsidRDefault="00764CC4"/>
    <w:p w:rsidR="00764CC4" w:rsidRDefault="008C271C">
      <w:pPr>
        <w:numPr>
          <w:ilvl w:val="0"/>
          <w:numId w:val="2"/>
        </w:numPr>
        <w:tabs>
          <w:tab w:val="num" w:pos="360"/>
        </w:tabs>
        <w:ind w:left="360"/>
      </w:pPr>
      <w:r>
        <w:rPr>
          <w:color w:val="000000"/>
        </w:rPr>
        <w:t>A performance</w:t>
      </w:r>
    </w:p>
    <w:p w:rsidR="00764CC4" w:rsidRDefault="008C271C">
      <w:pPr>
        <w:ind w:left="540" w:hanging="540"/>
      </w:pPr>
      <w:r>
        <w:rPr>
          <w:i/>
          <w:color w:val="000000"/>
        </w:rPr>
        <w:t>Heartbreak House</w:t>
      </w:r>
      <w:r>
        <w:rPr>
          <w:color w:val="000000"/>
        </w:rPr>
        <w:t>, By George Bernard Shaw. Dir. Robin Lefevre. Perf. Phillip Bosco and Swoosie Kurtz. Roundabout Theatre Company. Amer. Airlines Theatre, New York. 1 Oct. 2006. Performance.</w:t>
      </w:r>
    </w:p>
    <w:p w:rsidR="00764CC4" w:rsidRDefault="00764CC4"/>
    <w:p w:rsidR="00764CC4" w:rsidRDefault="008C271C">
      <w:pPr>
        <w:numPr>
          <w:ilvl w:val="0"/>
          <w:numId w:val="2"/>
        </w:numPr>
        <w:tabs>
          <w:tab w:val="num" w:pos="360"/>
        </w:tabs>
        <w:ind w:left="360"/>
      </w:pPr>
      <w:r>
        <w:rPr>
          <w:color w:val="000000"/>
        </w:rPr>
        <w:t>A work of visual art</w:t>
      </w:r>
    </w:p>
    <w:p w:rsidR="00764CC4" w:rsidRDefault="008C271C">
      <w:pPr>
        <w:ind w:left="540" w:hanging="540"/>
      </w:pPr>
      <w:r>
        <w:rPr>
          <w:color w:val="000000"/>
        </w:rPr>
        <w:t xml:space="preserve">Bearden, Romare. </w:t>
      </w:r>
      <w:r>
        <w:rPr>
          <w:i/>
          <w:color w:val="000000"/>
        </w:rPr>
        <w:t>The Train</w:t>
      </w:r>
      <w:r>
        <w:rPr>
          <w:color w:val="000000"/>
        </w:rPr>
        <w:t>. 1974. Photogravure and aquatint. Museum of Mod. Art, New York.</w:t>
      </w:r>
    </w:p>
    <w:p w:rsidR="00764CC4" w:rsidRDefault="00764CC4"/>
    <w:p w:rsidR="00764CC4" w:rsidRDefault="008C271C">
      <w:pPr>
        <w:numPr>
          <w:ilvl w:val="0"/>
          <w:numId w:val="2"/>
        </w:numPr>
        <w:tabs>
          <w:tab w:val="num" w:pos="360"/>
        </w:tabs>
        <w:ind w:left="360"/>
      </w:pPr>
      <w:r>
        <w:rPr>
          <w:color w:val="000000"/>
        </w:rPr>
        <w:t>An interview</w:t>
      </w:r>
    </w:p>
    <w:p w:rsidR="00764CC4" w:rsidRDefault="008C271C">
      <w:pPr>
        <w:ind w:left="540" w:hanging="540"/>
      </w:pPr>
      <w:r>
        <w:rPr>
          <w:color w:val="000000"/>
        </w:rPr>
        <w:t xml:space="preserve">Blanchett, Cate. “In Character with: Cate Blanchett.” </w:t>
      </w:r>
      <w:r>
        <w:rPr>
          <w:i/>
          <w:color w:val="000000"/>
        </w:rPr>
        <w:t>Notes on a Scandal</w:t>
      </w:r>
      <w:r>
        <w:rPr>
          <w:b/>
          <w:color w:val="000000"/>
        </w:rPr>
        <w:t xml:space="preserve">. </w:t>
      </w:r>
      <w:r>
        <w:rPr>
          <w:color w:val="000000"/>
        </w:rPr>
        <w:t>Dir. Richard Eyre. Fox Searchlight, 2006. DVD.</w:t>
      </w:r>
    </w:p>
    <w:p w:rsidR="00764CC4" w:rsidRDefault="00764CC4">
      <w:pPr>
        <w:ind w:left="540" w:hanging="540"/>
      </w:pPr>
    </w:p>
    <w:p w:rsidR="00764CC4" w:rsidRDefault="008C271C">
      <w:pPr>
        <w:ind w:left="540" w:hanging="540"/>
      </w:pPr>
      <w:r>
        <w:rPr>
          <w:color w:val="000000"/>
        </w:rPr>
        <w:t xml:space="preserve">Gordimer, Nadine. Interview. </w:t>
      </w:r>
      <w:r>
        <w:rPr>
          <w:i/>
          <w:color w:val="000000"/>
        </w:rPr>
        <w:t>New York Times</w:t>
      </w:r>
      <w:r>
        <w:rPr>
          <w:color w:val="000000"/>
        </w:rPr>
        <w:t xml:space="preserve"> 10 Oct. 1991, late ed.: C25. Print.</w:t>
      </w:r>
    </w:p>
    <w:p w:rsidR="00764CC4" w:rsidRDefault="00764CC4"/>
    <w:p w:rsidR="00764CC4" w:rsidRDefault="008C271C">
      <w:pPr>
        <w:numPr>
          <w:ilvl w:val="0"/>
          <w:numId w:val="2"/>
        </w:numPr>
        <w:tabs>
          <w:tab w:val="num" w:pos="360"/>
        </w:tabs>
        <w:ind w:left="360"/>
      </w:pPr>
      <w:r>
        <w:rPr>
          <w:color w:val="000000"/>
        </w:rPr>
        <w:t>A lecture, a speech, an address, or a reading</w:t>
      </w:r>
    </w:p>
    <w:p w:rsidR="00764CC4" w:rsidRDefault="008C271C">
      <w:r>
        <w:rPr>
          <w:color w:val="000000"/>
        </w:rPr>
        <w:t xml:space="preserve">In a citation of an oral presentation, give the speaker’s name; the title of the presentation (if known), in quotation marks; the meeting and the sponsoring </w:t>
      </w:r>
      <w:r>
        <w:rPr>
          <w:color w:val="000000"/>
        </w:rPr>
        <w:t>organization (if applicable); the location; and the date.</w:t>
      </w:r>
    </w:p>
    <w:p w:rsidR="00764CC4" w:rsidRDefault="00764CC4"/>
    <w:p w:rsidR="00764CC4" w:rsidRDefault="008C271C">
      <w:pPr>
        <w:ind w:left="540" w:hanging="540"/>
      </w:pPr>
      <w:r>
        <w:rPr>
          <w:color w:val="000000"/>
        </w:rPr>
        <w:t>Alter, Robert, and Marilynne Robinson. “The Psalms: A Reading and Conversation.” 92</w:t>
      </w:r>
      <w:r>
        <w:rPr>
          <w:color w:val="000000"/>
          <w:vertAlign w:val="superscript"/>
        </w:rPr>
        <w:t>nd</w:t>
      </w:r>
      <w:r>
        <w:rPr>
          <w:color w:val="000000"/>
        </w:rPr>
        <w:t xml:space="preserve"> Street Y, New York, 17 Dec. 2007. Reading.</w:t>
      </w:r>
    </w:p>
    <w:p w:rsidR="00764CC4" w:rsidRDefault="00764CC4"/>
    <w:p w:rsidR="00764CC4" w:rsidRDefault="008C271C">
      <w:pPr>
        <w:numPr>
          <w:ilvl w:val="0"/>
          <w:numId w:val="2"/>
        </w:numPr>
        <w:tabs>
          <w:tab w:val="num" w:pos="360"/>
        </w:tabs>
        <w:ind w:left="360"/>
      </w:pPr>
      <w:r>
        <w:rPr>
          <w:color w:val="000000"/>
        </w:rPr>
        <w:t>A letter, a memo, or an e-mail message</w:t>
      </w:r>
    </w:p>
    <w:p w:rsidR="00764CC4" w:rsidRDefault="008C271C">
      <w:pPr>
        <w:ind w:left="540" w:hanging="540"/>
      </w:pPr>
      <w:r>
        <w:rPr>
          <w:color w:val="000000"/>
        </w:rPr>
        <w:t>Woolf, Virginia. “To T. S. E</w:t>
      </w:r>
      <w:r>
        <w:rPr>
          <w:color w:val="000000"/>
        </w:rPr>
        <w:t xml:space="preserve">liot.” 28 July 1920. Letter 1138 of </w:t>
      </w:r>
      <w:r>
        <w:rPr>
          <w:i/>
          <w:color w:val="000000"/>
        </w:rPr>
        <w:t>The Letters of Virginia Woolf</w:t>
      </w:r>
      <w:r>
        <w:rPr>
          <w:color w:val="000000"/>
        </w:rPr>
        <w:t>. Ed. Nigel Nicolson and Joanne Trautmann. Vol. 2. New York: Harcourt, 1976. 437-38. Print.</w:t>
      </w:r>
    </w:p>
    <w:p w:rsidR="00764CC4" w:rsidRDefault="00764CC4">
      <w:pPr>
        <w:ind w:left="540" w:hanging="540"/>
      </w:pPr>
    </w:p>
    <w:p w:rsidR="00764CC4" w:rsidRDefault="008C271C">
      <w:pPr>
        <w:ind w:left="540" w:hanging="540"/>
      </w:pPr>
      <w:r>
        <w:rPr>
          <w:color w:val="000000"/>
        </w:rPr>
        <w:t>Boyle, Anthony t. “Re: Utopia”, Message to Daniel J. Cahill. 21 June 1997. E-mail.</w:t>
      </w:r>
    </w:p>
    <w:p w:rsidR="00764CC4" w:rsidRDefault="00764CC4"/>
    <w:p w:rsidR="00764CC4" w:rsidRDefault="008C271C">
      <w:pPr>
        <w:numPr>
          <w:ilvl w:val="0"/>
          <w:numId w:val="2"/>
        </w:numPr>
        <w:tabs>
          <w:tab w:val="num" w:pos="360"/>
        </w:tabs>
        <w:ind w:left="360"/>
      </w:pPr>
      <w:r>
        <w:rPr>
          <w:color w:val="000000"/>
        </w:rPr>
        <w:t>A digital file</w:t>
      </w:r>
    </w:p>
    <w:p w:rsidR="00764CC4" w:rsidRDefault="008C271C">
      <w:pPr>
        <w:ind w:left="540" w:hanging="540"/>
      </w:pPr>
      <w:r>
        <w:rPr>
          <w:color w:val="000000"/>
        </w:rPr>
        <w:t xml:space="preserve">American Council of Learned Societies. Commission on Cyberinfrastructure for Humanities and Social Sciences. </w:t>
      </w:r>
      <w:r>
        <w:rPr>
          <w:i/>
          <w:color w:val="000000"/>
        </w:rPr>
        <w:t>Our Cultural Commonwealth</w:t>
      </w:r>
      <w:r>
        <w:rPr>
          <w:color w:val="000000"/>
        </w:rPr>
        <w:t>. New York: ACLS, 2006. PDF file.</w:t>
      </w:r>
    </w:p>
    <w:sectPr w:rsidR="00764CC4">
      <w:headerReference w:type="default" r:id="rId7"/>
      <w:footerReference w:type="default" r:id="rId8"/>
      <w:pgSz w:w="12240" w:h="15840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271C" w:rsidRDefault="008C271C">
      <w:r>
        <w:separator/>
      </w:r>
    </w:p>
  </w:endnote>
  <w:endnote w:type="continuationSeparator" w:id="0">
    <w:p w:rsidR="008C271C" w:rsidRDefault="008C2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CC4" w:rsidRDefault="00764CC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271C" w:rsidRDefault="008C271C">
      <w:r>
        <w:separator/>
      </w:r>
    </w:p>
  </w:footnote>
  <w:footnote w:type="continuationSeparator" w:id="0">
    <w:p w:rsidR="008C271C" w:rsidRDefault="008C27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CC4" w:rsidRDefault="008C271C">
    <w:pPr>
      <w:tabs>
        <w:tab w:val="center" w:pos="4320"/>
        <w:tab w:val="right" w:pos="8280"/>
      </w:tabs>
    </w:pPr>
    <w:r>
      <w:fldChar w:fldCharType="begin"/>
    </w:r>
    <w:r>
      <w:instrText>PAGE</w:instrText>
    </w:r>
    <w:r>
      <w:fldChar w:fldCharType="separate"/>
    </w:r>
    <w:r w:rsidR="00442BC9">
      <w:rPr>
        <w:noProof/>
      </w:rPr>
      <w:t>1</w:t>
    </w:r>
    <w:r>
      <w:fldChar w:fldCharType="end"/>
    </w:r>
  </w:p>
  <w:p w:rsidR="00764CC4" w:rsidRDefault="008C271C">
    <w:pPr>
      <w:tabs>
        <w:tab w:val="center" w:pos="4320"/>
        <w:tab w:val="right" w:pos="8280"/>
      </w:tabs>
      <w:ind w:right="360"/>
      <w:jc w:val="right"/>
    </w:pPr>
    <w:r>
      <w:rPr>
        <w:color w:val="000000"/>
      </w:rPr>
      <w:t>Brochu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eastAsia="Symbol" w:hAnsi="Symbol" w:cs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hybridMultilevel"/>
    <w:tmpl w:val="00000003"/>
    <w:lvl w:ilvl="0" w:tplc="B32E5C14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eastAsia="Symbol" w:hAnsi="Symbol" w:cs="Symbol"/>
        <w:sz w:val="24"/>
      </w:rPr>
    </w:lvl>
    <w:lvl w:ilvl="1" w:tplc="ED78B8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0A637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94AE4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1E6605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D1AE9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F08917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D42842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760413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eastAsia="Symbol" w:hAnsi="Symbol" w:cs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CC4"/>
    <w:rsid w:val="00442BC9"/>
    <w:rsid w:val="00764CC4"/>
    <w:rsid w:val="008C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7BACEDE-5E6C-48F6-96CE-5E7BA46B3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Titre1">
    <w:name w:val="heading 1"/>
    <w:basedOn w:val="Normal"/>
    <w:next w:val="Normal"/>
    <w:qFormat/>
    <w:rsid w:val="00EF7B96"/>
    <w:pPr>
      <w:outlineLvl w:val="0"/>
    </w:pPr>
    <w:rPr>
      <w:rFonts w:ascii="Cambria" w:eastAsia="Cambria" w:hAnsi="Cambria" w:cs="Cambria"/>
      <w:b/>
      <w:color w:val="376092"/>
      <w:sz w:val="36"/>
    </w:rPr>
  </w:style>
  <w:style w:type="paragraph" w:styleId="Titre2">
    <w:name w:val="heading 2"/>
    <w:basedOn w:val="Normal"/>
    <w:next w:val="Normal"/>
    <w:qFormat/>
    <w:rsid w:val="00EF7B96"/>
    <w:pPr>
      <w:outlineLvl w:val="1"/>
    </w:pPr>
    <w:rPr>
      <w:rFonts w:ascii="Cambria" w:eastAsia="Cambria" w:hAnsi="Cambria" w:cs="Cambria"/>
      <w:b/>
      <w:color w:val="4F81BD"/>
      <w:sz w:val="28"/>
    </w:rPr>
  </w:style>
  <w:style w:type="paragraph" w:styleId="Titre3">
    <w:name w:val="heading 3"/>
    <w:basedOn w:val="Normal"/>
    <w:next w:val="Normal"/>
    <w:qFormat/>
    <w:rsid w:val="00EF7B96"/>
    <w:pPr>
      <w:outlineLvl w:val="2"/>
    </w:pPr>
    <w:rPr>
      <w:rFonts w:ascii="Cambria" w:eastAsia="Cambria" w:hAnsi="Cambria" w:cs="Cambria"/>
      <w:b/>
      <w:color w:val="4F81BD"/>
    </w:rPr>
  </w:style>
  <w:style w:type="paragraph" w:styleId="Titre4">
    <w:name w:val="heading 4"/>
    <w:basedOn w:val="Normal"/>
    <w:next w:val="Normal"/>
    <w:qFormat/>
    <w:rsid w:val="00EF7B96"/>
    <w:pPr>
      <w:outlineLvl w:val="3"/>
    </w:pPr>
    <w:rPr>
      <w:rFonts w:ascii="Cambria" w:eastAsia="Cambria" w:hAnsi="Cambria" w:cs="Cambria"/>
      <w:i/>
      <w:color w:val="4F81BD"/>
      <w:sz w:val="22"/>
    </w:rPr>
  </w:style>
  <w:style w:type="paragraph" w:styleId="Titre5">
    <w:name w:val="heading 5"/>
    <w:basedOn w:val="Normal"/>
    <w:next w:val="Normal"/>
    <w:qFormat/>
    <w:rsid w:val="00EF7B96"/>
    <w:pPr>
      <w:outlineLvl w:val="4"/>
    </w:pPr>
    <w:rPr>
      <w:rFonts w:ascii="Cambria" w:eastAsia="Cambria" w:hAnsi="Cambria" w:cs="Cambria"/>
      <w:b/>
      <w:color w:val="4F81BD"/>
      <w:sz w:val="20"/>
    </w:rPr>
  </w:style>
  <w:style w:type="paragraph" w:styleId="Titre6">
    <w:name w:val="heading 6"/>
    <w:basedOn w:val="Normal"/>
    <w:next w:val="Normal"/>
    <w:qFormat/>
    <w:rsid w:val="00EF7B96"/>
    <w:pPr>
      <w:outlineLvl w:val="5"/>
    </w:pPr>
    <w:rPr>
      <w:rFonts w:ascii="Cambria" w:eastAsia="Cambria" w:hAnsi="Cambria" w:cs="Cambria"/>
      <w:i/>
      <w:color w:val="254061"/>
      <w:sz w:val="20"/>
    </w:rPr>
  </w:style>
  <w:style w:type="paragraph" w:styleId="Titre7">
    <w:name w:val="heading 7"/>
    <w:basedOn w:val="Normal"/>
    <w:next w:val="Normal"/>
    <w:qFormat/>
    <w:rsid w:val="00EF7B96"/>
    <w:pPr>
      <w:outlineLvl w:val="6"/>
    </w:pPr>
    <w:rPr>
      <w:rFonts w:ascii="Cambria" w:eastAsia="Cambria" w:hAnsi="Cambria" w:cs="Cambria"/>
      <w:i/>
      <w:color w:val="4F81BD"/>
      <w:sz w:val="22"/>
    </w:rPr>
  </w:style>
  <w:style w:type="paragraph" w:styleId="Titre8">
    <w:name w:val="heading 8"/>
    <w:basedOn w:val="Normal"/>
    <w:next w:val="Normal"/>
    <w:qFormat/>
    <w:rsid w:val="00EF7B96"/>
    <w:pPr>
      <w:outlineLvl w:val="7"/>
    </w:pPr>
    <w:rPr>
      <w:rFonts w:ascii="Cambria" w:eastAsia="Cambria" w:hAnsi="Cambria" w:cs="Cambria"/>
      <w:i/>
      <w:color w:val="4F81BD"/>
      <w:sz w:val="22"/>
    </w:rPr>
  </w:style>
  <w:style w:type="paragraph" w:styleId="Titre9">
    <w:name w:val="heading 9"/>
    <w:basedOn w:val="Normal"/>
    <w:next w:val="Normal"/>
    <w:qFormat/>
    <w:rsid w:val="00EF7B96"/>
    <w:pPr>
      <w:outlineLvl w:val="8"/>
    </w:pPr>
    <w:rPr>
      <w:rFonts w:ascii="Cambria" w:eastAsia="Cambria" w:hAnsi="Cambria" w:cs="Cambria"/>
      <w:i/>
      <w:color w:val="4F81BD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itation">
    <w:name w:val="Quote"/>
    <w:basedOn w:val="Normal"/>
    <w:next w:val="Normal"/>
    <w:link w:val="CitationCar"/>
    <w:uiPriority w:val="29"/>
    <w:qFormat/>
    <w:rsid w:val="00E12ACB"/>
    <w:rPr>
      <w:rFonts w:ascii="Cambria" w:eastAsia="Cambria" w:hAnsi="Cambria" w:cs="Cambria"/>
      <w:i/>
      <w:color w:val="4F81BD"/>
      <w:sz w:val="22"/>
    </w:rPr>
  </w:style>
  <w:style w:type="character" w:customStyle="1" w:styleId="CitationCar">
    <w:name w:val="Citation Car"/>
    <w:basedOn w:val="Policepardfaut"/>
    <w:link w:val="Citation"/>
    <w:uiPriority w:val="29"/>
    <w:rsid w:val="00E12ACB"/>
    <w:rPr>
      <w:i/>
      <w:iCs/>
      <w:color w:val="000000" w:themeColor="text1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12ACB"/>
    <w:rPr>
      <w:rFonts w:ascii="Cambria" w:eastAsia="Cambria" w:hAnsi="Cambria" w:cs="Cambria"/>
      <w:i/>
      <w:color w:val="4F81BD"/>
      <w:sz w:val="2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12ACB"/>
    <w:rPr>
      <w:b/>
      <w:bCs/>
      <w:i/>
      <w:iCs/>
      <w:color w:val="5B9BD5" w:themeColor="accent1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43E52"/>
    <w:rPr>
      <w:rFonts w:ascii="Cambria" w:eastAsia="Cambria" w:hAnsi="Cambria" w:cs="Cambria"/>
      <w:i/>
      <w:color w:val="4F81BD"/>
      <w:sz w:val="22"/>
    </w:rPr>
  </w:style>
  <w:style w:type="paragraph" w:styleId="Sansinterligne">
    <w:name w:val="No Spacing"/>
    <w:uiPriority w:val="1"/>
    <w:qFormat/>
    <w:rsid w:val="00664657"/>
    <w:rPr>
      <w:rFonts w:ascii="Cambria" w:eastAsia="Cambria" w:hAnsi="Cambria" w:cs="Cambria"/>
      <w:i/>
      <w:color w:val="4F81BD"/>
      <w:sz w:val="22"/>
    </w:rPr>
  </w:style>
  <w:style w:type="paragraph" w:styleId="Titre">
    <w:name w:val="Title"/>
    <w:basedOn w:val="Normal"/>
    <w:qFormat/>
    <w:rsid w:val="00EF7B96"/>
    <w:rPr>
      <w:rFonts w:ascii="Cambria" w:eastAsia="Cambria" w:hAnsi="Cambria" w:cs="Cambria"/>
      <w:i/>
      <w:color w:val="4F81BD"/>
      <w:sz w:val="22"/>
    </w:rPr>
  </w:style>
  <w:style w:type="paragraph" w:styleId="Sous-titre">
    <w:name w:val="Subtitle"/>
    <w:basedOn w:val="Normal"/>
    <w:qFormat/>
    <w:rsid w:val="00EF7B96"/>
    <w:rPr>
      <w:rFonts w:ascii="Cambria" w:eastAsia="Cambria" w:hAnsi="Cambria" w:cs="Cambria"/>
      <w:i/>
      <w:color w:val="4F81BD"/>
      <w:sz w:val="22"/>
    </w:rPr>
  </w:style>
  <w:style w:type="character" w:styleId="Emphaseintense">
    <w:name w:val="Intense Emphasis"/>
    <w:basedOn w:val="Policepardfaut"/>
    <w:uiPriority w:val="21"/>
    <w:qFormat/>
    <w:rsid w:val="003677AA"/>
    <w:rPr>
      <w:b/>
      <w:i/>
      <w:color w:val="9BBB59"/>
      <w:spacing w:val="10"/>
    </w:rPr>
  </w:style>
  <w:style w:type="character" w:styleId="Accentuation">
    <w:name w:val="Emphasis"/>
    <w:basedOn w:val="Policepardfaut"/>
    <w:qFormat/>
    <w:rsid w:val="00EF7B96"/>
    <w:rPr>
      <w:b/>
      <w:i/>
      <w:color w:val="C0504D"/>
      <w:spacing w:val="10"/>
    </w:rPr>
  </w:style>
  <w:style w:type="character" w:styleId="Emphaseple">
    <w:name w:val="Subtle Emphasis"/>
    <w:basedOn w:val="Policepardfaut"/>
    <w:uiPriority w:val="19"/>
    <w:qFormat/>
    <w:rsid w:val="003677AA"/>
    <w:rPr>
      <w:b/>
      <w:i/>
      <w:color w:val="4F81BD"/>
      <w:spacing w:val="10"/>
    </w:rPr>
  </w:style>
  <w:style w:type="character" w:styleId="Titredulivre">
    <w:name w:val="Book Title"/>
    <w:basedOn w:val="Policepardfaut"/>
    <w:uiPriority w:val="33"/>
    <w:qFormat/>
    <w:rsid w:val="001B6FDD"/>
    <w:rPr>
      <w:b/>
      <w:i/>
      <w:color w:val="C0504D"/>
      <w:spacing w:val="10"/>
    </w:rPr>
  </w:style>
  <w:style w:type="character" w:styleId="Rfrenceintense">
    <w:name w:val="Intense Reference"/>
    <w:basedOn w:val="Policepardfaut"/>
    <w:uiPriority w:val="32"/>
    <w:qFormat/>
    <w:rsid w:val="001B6FDD"/>
    <w:rPr>
      <w:b/>
      <w:i/>
      <w:color w:val="F79646"/>
      <w:spacing w:val="10"/>
    </w:rPr>
  </w:style>
  <w:style w:type="character" w:styleId="Rfrenceple">
    <w:name w:val="Subtle Reference"/>
    <w:basedOn w:val="Policepardfaut"/>
    <w:uiPriority w:val="31"/>
    <w:qFormat/>
    <w:rsid w:val="001B6FDD"/>
    <w:rPr>
      <w:b/>
      <w:i/>
      <w:color w:val="4BACC6"/>
      <w:spacing w:val="10"/>
    </w:rPr>
  </w:style>
  <w:style w:type="character" w:styleId="lev">
    <w:name w:val="Strong"/>
    <w:basedOn w:val="Policepardfaut"/>
    <w:qFormat/>
    <w:rsid w:val="00EF7B96"/>
    <w:rPr>
      <w:b/>
      <w:i/>
      <w:color w:val="8064A2"/>
      <w:spacing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2055</Words>
  <Characters>11304</Characters>
  <Application>Microsoft Office Word</Application>
  <DocSecurity>0</DocSecurity>
  <Lines>94</Lines>
  <Paragraphs>26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Emilie Brochu</dc:creator>
  <cp:lastModifiedBy>Émilie Brochu</cp:lastModifiedBy>
  <cp:revision>3</cp:revision>
  <dcterms:created xsi:type="dcterms:W3CDTF">2016-03-08T14:44:00Z</dcterms:created>
  <dcterms:modified xsi:type="dcterms:W3CDTF">2016-03-08T14:44:00Z</dcterms:modified>
</cp:coreProperties>
</file>